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018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 xml:space="preserve">02 de julho de </w:t>
      </w:r>
      <w:r>
        <w:rPr>
          <w:rFonts w:ascii="Arial" w:hAnsi="Arial" w:cs="Arial"/>
          <w:color w:val="000000"/>
        </w:rPr>
        <w:t xml:space="preserve">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color w:val="000000"/>
        </w:rPr>
        <w:t>Projeto de Lei nº 1.962/2024</w:t>
      </w:r>
      <w:r>
        <w:rPr>
          <w:rFonts w:ascii="Arial" w:hAnsi="Arial" w:cs="Arial"/>
          <w:color w:val="000000"/>
        </w:rPr>
        <w:t xml:space="preserve">, de origem do Poder Executivo, que “Autoriza o Executivo Municipal abrir Crédito Suplementar no Orçamento de 2024, no valor de R$ 150.000,00(cento e cinquenta mil reais).  </w:t>
      </w:r>
      <w:r>
        <w:rPr>
          <w:rFonts w:ascii="Arial" w:hAnsi="Arial" w:cs="Arial"/>
          <w:b/>
          <w:bCs/>
        </w:rPr>
        <w:t xml:space="preserve">Projeto de Lei nº 1.963/2024, </w:t>
      </w:r>
      <w:r>
        <w:rPr>
          <w:rFonts w:ascii="Arial" w:hAnsi="Arial" w:cs="Arial"/>
          <w:bCs/>
        </w:rPr>
        <w:t xml:space="preserve">de origem do Executivo, Inclui Parágrafo único no art. 48 da Lei Municipal nº 1.330 de 03 de junho de 2015, que “Dispõe sobre a Política Municipal de Proteção aos Direitos da Criança e do Adolescente, o Conselho Municipal dos Direitos da Criança e do Adolescente, o Fundo Municipal dos Direitos da Criança e do Adolescente, o Sistema Municipal de Atendimento Socioeducativo e o Conselho Tutelar”. </w:t>
      </w:r>
      <w:bookmarkStart w:id="0" w:name="_GoBack"/>
      <w:bookmarkEnd w:id="0"/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8C795-DECB-48FC-9FBC-309AEC48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2024-07-02T13:59:00Z</dcterms:created>
  <dcterms:modified xsi:type="dcterms:W3CDTF">2024-07-02T14:02:00Z</dcterms:modified>
</cp:coreProperties>
</file>