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AA" w:rsidRPr="00A4710B" w:rsidRDefault="00A235AA" w:rsidP="00A235AA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 xml:space="preserve">PARECER DA COMISSÃO DE ECONOMIA, FINANÇAS E </w:t>
      </w:r>
      <w:proofErr w:type="gramStart"/>
      <w:r w:rsidRPr="00A4710B">
        <w:rPr>
          <w:rFonts w:ascii="Arial" w:hAnsi="Arial" w:cs="Arial"/>
          <w:b/>
          <w:sz w:val="20"/>
          <w:szCs w:val="20"/>
        </w:rPr>
        <w:t>ORÇAMENTO</w:t>
      </w:r>
      <w:proofErr w:type="gramEnd"/>
    </w:p>
    <w:p w:rsidR="00A235AA" w:rsidRPr="00A4710B" w:rsidRDefault="00A235AA" w:rsidP="00A235A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A235AA" w:rsidRPr="004109BF" w:rsidRDefault="00A235AA" w:rsidP="00A235A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Projeto </w:t>
      </w:r>
      <w:r w:rsidRPr="004109BF">
        <w:rPr>
          <w:rFonts w:ascii="Arial" w:hAnsi="Arial" w:cs="Arial"/>
          <w:b/>
          <w:bCs/>
          <w:sz w:val="20"/>
          <w:szCs w:val="20"/>
        </w:rPr>
        <w:t>de Lei nº 2.082/2026 de origem do Poder Executivo, que</w:t>
      </w:r>
      <w:r w:rsidRPr="004109BF">
        <w:rPr>
          <w:rFonts w:ascii="Arial" w:hAnsi="Arial" w:cs="Arial"/>
          <w:sz w:val="20"/>
          <w:szCs w:val="20"/>
        </w:rPr>
        <w:t xml:space="preserve"> A</w:t>
      </w:r>
      <w:r w:rsidRPr="004109BF">
        <w:rPr>
          <w:rFonts w:ascii="Arial" w:hAnsi="Arial" w:cs="Arial"/>
          <w:b/>
          <w:bCs/>
          <w:sz w:val="20"/>
          <w:szCs w:val="20"/>
        </w:rPr>
        <w:t>utoriza o Executivo Municipal abrir Crédito Suplementar no orçamento de 2026, no valor de R$ 151.500,00 (cento e cinquenta e um mil e quinhentos reais).</w:t>
      </w:r>
    </w:p>
    <w:p w:rsidR="00A235AA" w:rsidRPr="008B08DD" w:rsidRDefault="00A235AA" w:rsidP="00A235AA">
      <w:pPr>
        <w:pStyle w:val="Standard"/>
        <w:jc w:val="both"/>
        <w:rPr>
          <w:sz w:val="20"/>
          <w:szCs w:val="20"/>
        </w:rPr>
      </w:pPr>
    </w:p>
    <w:p w:rsidR="00A235AA" w:rsidRPr="008B08DD" w:rsidRDefault="00A235AA" w:rsidP="00A235A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A235AA" w:rsidRPr="008B08DD" w:rsidRDefault="00A235AA" w:rsidP="00A235AA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A235AA" w:rsidRPr="00E204AF" w:rsidRDefault="00A235AA" w:rsidP="00A235AA">
      <w:pPr>
        <w:pStyle w:val="PargrafodaLista"/>
        <w:numPr>
          <w:ilvl w:val="0"/>
          <w:numId w:val="3"/>
        </w:numPr>
        <w:tabs>
          <w:tab w:val="clear" w:pos="36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A235AA" w:rsidRPr="004109BF" w:rsidRDefault="00A235AA" w:rsidP="00A235A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109BF">
        <w:rPr>
          <w:rFonts w:ascii="Arial" w:hAnsi="Arial" w:cs="Arial"/>
          <w:sz w:val="20"/>
          <w:szCs w:val="20"/>
        </w:rPr>
        <w:t xml:space="preserve">O Projeto de Lei nº 2.082/2026, de iniciativa do Poder Executivo Municipal, tem por objetivo autorizar a abertura de crédito suplementar no orçamento vigente no valor de </w:t>
      </w:r>
      <w:proofErr w:type="gramStart"/>
      <w:r w:rsidRPr="004109BF">
        <w:rPr>
          <w:rStyle w:val="Forte"/>
          <w:rFonts w:ascii="Arial" w:hAnsi="Arial" w:cs="Arial"/>
          <w:b w:val="0"/>
          <w:sz w:val="20"/>
          <w:szCs w:val="20"/>
        </w:rPr>
        <w:t>R$ 151.500,00 (cento e cinquenta e um mil e quinhentos reais)</w:t>
      </w:r>
      <w:r w:rsidRPr="004109BF">
        <w:rPr>
          <w:rFonts w:ascii="Arial" w:hAnsi="Arial" w:cs="Arial"/>
          <w:b/>
          <w:sz w:val="20"/>
          <w:szCs w:val="20"/>
        </w:rPr>
        <w:t xml:space="preserve">, </w:t>
      </w:r>
      <w:r w:rsidRPr="004109BF">
        <w:rPr>
          <w:rFonts w:ascii="Arial" w:hAnsi="Arial" w:cs="Arial"/>
          <w:sz w:val="20"/>
          <w:szCs w:val="20"/>
        </w:rPr>
        <w:t>destinado</w:t>
      </w:r>
      <w:proofErr w:type="gramEnd"/>
      <w:r w:rsidRPr="004109BF">
        <w:rPr>
          <w:rFonts w:ascii="Arial" w:hAnsi="Arial" w:cs="Arial"/>
          <w:sz w:val="20"/>
          <w:szCs w:val="20"/>
        </w:rPr>
        <w:t xml:space="preserve"> à Secretaria Municipal de Obras e Serviços Públicos, para a execução de obras de construção de cabeceiras em concreto armado para dois pontilhões, totalizando quatro cabeceiras, na localidade de Linha </w:t>
      </w:r>
      <w:proofErr w:type="spellStart"/>
      <w:r w:rsidRPr="004109BF">
        <w:rPr>
          <w:rFonts w:ascii="Arial" w:hAnsi="Arial" w:cs="Arial"/>
          <w:sz w:val="20"/>
          <w:szCs w:val="20"/>
        </w:rPr>
        <w:t>Polhmann</w:t>
      </w:r>
      <w:proofErr w:type="spellEnd"/>
      <w:r w:rsidRPr="004109BF">
        <w:rPr>
          <w:rFonts w:ascii="Arial" w:hAnsi="Arial" w:cs="Arial"/>
          <w:sz w:val="20"/>
          <w:szCs w:val="20"/>
        </w:rPr>
        <w:t>.</w:t>
      </w:r>
    </w:p>
    <w:p w:rsidR="00A235AA" w:rsidRPr="004109BF" w:rsidRDefault="00A235AA" w:rsidP="00A235A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109BF">
        <w:rPr>
          <w:rFonts w:ascii="Arial" w:hAnsi="Arial" w:cs="Arial"/>
          <w:sz w:val="20"/>
          <w:szCs w:val="20"/>
        </w:rPr>
        <w:t xml:space="preserve">O crédito será coberto por </w:t>
      </w:r>
      <w:r w:rsidRPr="004109BF">
        <w:rPr>
          <w:rStyle w:val="Forte"/>
          <w:rFonts w:ascii="Arial" w:hAnsi="Arial" w:cs="Arial"/>
          <w:b w:val="0"/>
          <w:sz w:val="20"/>
          <w:szCs w:val="20"/>
        </w:rPr>
        <w:t>superávit financeiro apurado em 31/12/2025</w:t>
      </w:r>
      <w:r w:rsidRPr="004109BF">
        <w:rPr>
          <w:rFonts w:ascii="Arial" w:hAnsi="Arial" w:cs="Arial"/>
          <w:b/>
          <w:sz w:val="20"/>
          <w:szCs w:val="20"/>
        </w:rPr>
        <w:t xml:space="preserve">, </w:t>
      </w:r>
      <w:r w:rsidRPr="004109BF">
        <w:rPr>
          <w:rFonts w:ascii="Arial" w:hAnsi="Arial" w:cs="Arial"/>
          <w:sz w:val="20"/>
          <w:szCs w:val="20"/>
        </w:rPr>
        <w:t>proveniente da</w:t>
      </w:r>
      <w:r w:rsidRPr="004109BF">
        <w:rPr>
          <w:rFonts w:ascii="Arial" w:hAnsi="Arial" w:cs="Arial"/>
          <w:b/>
          <w:sz w:val="20"/>
          <w:szCs w:val="20"/>
        </w:rPr>
        <w:t xml:space="preserve"> </w:t>
      </w:r>
      <w:r w:rsidRPr="004109BF">
        <w:rPr>
          <w:rStyle w:val="Forte"/>
          <w:rFonts w:ascii="Arial" w:hAnsi="Arial" w:cs="Arial"/>
          <w:b w:val="0"/>
          <w:sz w:val="20"/>
          <w:szCs w:val="20"/>
        </w:rPr>
        <w:t>Fonte de Recursos 27551092 – Alienação de Bens Móveis Adquiridos com Recursos Livres</w:t>
      </w:r>
      <w:r w:rsidRPr="004109BF">
        <w:rPr>
          <w:rFonts w:ascii="Arial" w:hAnsi="Arial" w:cs="Arial"/>
          <w:b/>
          <w:sz w:val="20"/>
          <w:szCs w:val="20"/>
        </w:rPr>
        <w:t>.</w:t>
      </w:r>
    </w:p>
    <w:p w:rsidR="00A235AA" w:rsidRPr="008B08DD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:rsidR="00A235AA" w:rsidRPr="008B08DD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8B08DD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A235AA" w:rsidRPr="00A4710B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FUNDAMENTAÇÃO JURÍDICA</w:t>
      </w:r>
    </w:p>
    <w:p w:rsidR="00A235AA" w:rsidRPr="00A4710B" w:rsidRDefault="00A235AA" w:rsidP="00A235AA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A235AA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235AA">
        <w:rPr>
          <w:rFonts w:ascii="Arial" w:hAnsi="Arial" w:cs="Arial"/>
          <w:sz w:val="20"/>
          <w:szCs w:val="20"/>
        </w:rPr>
        <w:t xml:space="preserve">Constata-se que o crédito suplementar será coberto por </w:t>
      </w:r>
      <w:r w:rsidRPr="00A235AA">
        <w:rPr>
          <w:rFonts w:ascii="Arial" w:hAnsi="Arial" w:cs="Arial"/>
          <w:bCs/>
          <w:sz w:val="20"/>
          <w:szCs w:val="20"/>
        </w:rPr>
        <w:t>superávit financeiro apurado em 31/12/2025</w:t>
      </w:r>
      <w:r w:rsidRPr="00A235AA">
        <w:rPr>
          <w:rFonts w:ascii="Arial" w:hAnsi="Arial" w:cs="Arial"/>
          <w:sz w:val="20"/>
          <w:szCs w:val="20"/>
        </w:rPr>
        <w:t xml:space="preserve">, proveniente da </w:t>
      </w:r>
      <w:r w:rsidRPr="00A235AA">
        <w:rPr>
          <w:rFonts w:ascii="Arial" w:hAnsi="Arial" w:cs="Arial"/>
          <w:bCs/>
          <w:sz w:val="20"/>
          <w:szCs w:val="20"/>
        </w:rPr>
        <w:t>Fonte de Recursos 27551092 – Alienação de Bens Móveis Adquiridos com Recursos Livres</w:t>
      </w:r>
      <w:r w:rsidRPr="00A235AA">
        <w:rPr>
          <w:rFonts w:ascii="Arial" w:hAnsi="Arial" w:cs="Arial"/>
          <w:sz w:val="20"/>
          <w:szCs w:val="20"/>
        </w:rPr>
        <w:t>, conforme disposto no art. 43 da Lei Federal nº 4.320/1964.</w:t>
      </w:r>
    </w:p>
    <w:p w:rsidR="00A235AA" w:rsidRPr="00A235AA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235AA" w:rsidRPr="00A235AA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235AA">
        <w:rPr>
          <w:rFonts w:ascii="Arial" w:hAnsi="Arial" w:cs="Arial"/>
          <w:sz w:val="20"/>
          <w:szCs w:val="20"/>
        </w:rPr>
        <w:t xml:space="preserve">A abertura do crédito visa </w:t>
      </w:r>
      <w:r w:rsidRPr="00A235AA">
        <w:rPr>
          <w:rFonts w:ascii="Arial" w:hAnsi="Arial" w:cs="Arial"/>
          <w:bCs/>
          <w:sz w:val="20"/>
          <w:szCs w:val="20"/>
        </w:rPr>
        <w:t>viabilizar melhorias na infraestrutura viária rural</w:t>
      </w:r>
      <w:r w:rsidRPr="00A235AA">
        <w:rPr>
          <w:rFonts w:ascii="Arial" w:hAnsi="Arial" w:cs="Arial"/>
          <w:sz w:val="20"/>
          <w:szCs w:val="20"/>
        </w:rPr>
        <w:t>, contribuindo para melhores condições de trafegabilidade e segurança na localidade mencionada.</w:t>
      </w:r>
    </w:p>
    <w:p w:rsidR="00A235AA" w:rsidRPr="00A235AA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Nos termos regimentais, compete a esta Comissão analisar os aspectos financeiros e orçamentários da matéria.</w:t>
      </w:r>
    </w:p>
    <w:p w:rsidR="00A235AA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O crédito suplementar, conforme previsto no art. 41, inciso I, da Lei nº 4.320/1964, destina-se ao reforço de dotação já existente no orçamento.</w:t>
      </w:r>
    </w:p>
    <w:p w:rsidR="00A235AA" w:rsidRPr="00A4710B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No caso em análise, verifica-se que, há </w:t>
      </w:r>
      <w:r w:rsidRPr="00A4710B">
        <w:rPr>
          <w:rFonts w:ascii="Arial" w:hAnsi="Arial" w:cs="Arial"/>
          <w:bCs/>
          <w:sz w:val="20"/>
          <w:szCs w:val="20"/>
        </w:rPr>
        <w:t>necessidade justificada</w:t>
      </w:r>
      <w:r w:rsidRPr="00A4710B">
        <w:rPr>
          <w:rFonts w:ascii="Arial" w:hAnsi="Arial" w:cs="Arial"/>
          <w:sz w:val="20"/>
          <w:szCs w:val="20"/>
        </w:rPr>
        <w:t xml:space="preserve"> para o reforço da dotação, a </w:t>
      </w:r>
      <w:r w:rsidRPr="00A4710B">
        <w:rPr>
          <w:rFonts w:ascii="Arial" w:hAnsi="Arial" w:cs="Arial"/>
          <w:bCs/>
          <w:sz w:val="20"/>
          <w:szCs w:val="20"/>
        </w:rPr>
        <w:t>fonte de recursos está devidamente indicada</w:t>
      </w:r>
      <w:r w:rsidRPr="00A4710B">
        <w:rPr>
          <w:rFonts w:ascii="Arial" w:hAnsi="Arial" w:cs="Arial"/>
          <w:sz w:val="20"/>
          <w:szCs w:val="20"/>
        </w:rPr>
        <w:t xml:space="preserve">, atendendo ao disposto no art. 43 da Lei nº 4.320/1964 e a medida não compromete o </w:t>
      </w:r>
      <w:r w:rsidRPr="00A4710B">
        <w:rPr>
          <w:rFonts w:ascii="Arial" w:hAnsi="Arial" w:cs="Arial"/>
          <w:bCs/>
          <w:sz w:val="20"/>
          <w:szCs w:val="20"/>
        </w:rPr>
        <w:t>equilíbrio fiscal</w:t>
      </w:r>
      <w:r w:rsidRPr="00A4710B">
        <w:rPr>
          <w:rFonts w:ascii="Arial" w:hAnsi="Arial" w:cs="Arial"/>
          <w:sz w:val="20"/>
          <w:szCs w:val="20"/>
        </w:rPr>
        <w:t>, observando os princípios da Lei Complementar nº 101/2000 (Lei de Responsabilidade Fiscal).</w:t>
      </w:r>
    </w:p>
    <w:p w:rsidR="00A235AA" w:rsidRPr="00A4710B" w:rsidRDefault="00A235AA" w:rsidP="00A235AA">
      <w:pPr>
        <w:pStyle w:val="Standard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Ademais, a suplementação mostra-se compatível com o Plano Plurianual (PPA) e com a Lei de Diretrizes Orçamentárias (LDO), não havendo incompatibilidade com o planejamento orçamentário do Município.</w:t>
      </w:r>
    </w:p>
    <w:p w:rsidR="00A235AA" w:rsidRPr="00A4710B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2.075</w:t>
      </w:r>
      <w:r w:rsidRPr="00A4710B">
        <w:rPr>
          <w:rFonts w:ascii="Arial" w:hAnsi="Arial" w:cs="Arial"/>
          <w:sz w:val="20"/>
          <w:szCs w:val="20"/>
        </w:rPr>
        <w:t>/ 2026 encontra-se apto a ser votado pelo Plenário, conforme disciplina o Regimento Interno da Câmara Municipal.</w:t>
      </w:r>
    </w:p>
    <w:p w:rsidR="00A235AA" w:rsidRPr="00A4710B" w:rsidRDefault="00A235AA" w:rsidP="00A235A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CONCLUSÃO</w:t>
      </w:r>
    </w:p>
    <w:p w:rsidR="00A235AA" w:rsidRPr="00A4710B" w:rsidRDefault="00A235AA" w:rsidP="00A235AA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A235AA" w:rsidRPr="00A4710B" w:rsidRDefault="00A235AA" w:rsidP="00A235AA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A235AA" w:rsidRPr="00A4710B" w:rsidRDefault="00A235AA" w:rsidP="00A235AA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Ple</w:t>
      </w:r>
      <w:r>
        <w:rPr>
          <w:rFonts w:ascii="Arial" w:hAnsi="Arial" w:cs="Arial"/>
          <w:sz w:val="20"/>
          <w:szCs w:val="20"/>
        </w:rPr>
        <w:t xml:space="preserve">nário </w:t>
      </w:r>
      <w:proofErr w:type="spellStart"/>
      <w:r>
        <w:rPr>
          <w:rFonts w:ascii="Arial" w:hAnsi="Arial" w:cs="Arial"/>
          <w:sz w:val="20"/>
          <w:szCs w:val="20"/>
        </w:rPr>
        <w:t>Iedo</w:t>
      </w:r>
      <w:proofErr w:type="spellEnd"/>
      <w:r>
        <w:rPr>
          <w:rFonts w:ascii="Arial" w:hAnsi="Arial" w:cs="Arial"/>
          <w:sz w:val="20"/>
          <w:szCs w:val="20"/>
        </w:rPr>
        <w:t xml:space="preserve"> Francisco da Silva, 10</w:t>
      </w:r>
      <w:r w:rsidRPr="00A4710B">
        <w:rPr>
          <w:rFonts w:ascii="Arial" w:hAnsi="Arial" w:cs="Arial"/>
          <w:sz w:val="20"/>
          <w:szCs w:val="20"/>
        </w:rPr>
        <w:t xml:space="preserve"> de março de 2026.</w:t>
      </w:r>
    </w:p>
    <w:p w:rsidR="00A235AA" w:rsidRPr="00A4710B" w:rsidRDefault="00A235AA" w:rsidP="00A235A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    </w:t>
      </w:r>
      <w:r w:rsidRPr="00A4710B">
        <w:rPr>
          <w:rFonts w:ascii="Arial" w:hAnsi="Arial" w:cs="Arial"/>
          <w:b/>
          <w:sz w:val="20"/>
          <w:szCs w:val="20"/>
        </w:rPr>
        <w:t>_______________________</w:t>
      </w: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GILSEMAR HONNEF- PP</w:t>
      </w: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_________________________</w:t>
      </w: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CLAUDIOMIRO SEVERO- PL</w:t>
      </w: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Vice-Presidente</w:t>
      </w: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 xml:space="preserve">_________________________         </w:t>
      </w:r>
    </w:p>
    <w:p w:rsidR="00A235AA" w:rsidRPr="00A4710B" w:rsidRDefault="00A235AA" w:rsidP="00A235A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VINICIUS ALFREDO NEU- PT</w:t>
      </w:r>
    </w:p>
    <w:p w:rsidR="00475FCB" w:rsidRPr="00A235AA" w:rsidRDefault="00A235AA" w:rsidP="00A235A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Membro</w:t>
      </w:r>
    </w:p>
    <w:sectPr w:rsidR="00475FCB" w:rsidRPr="00A235A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AA"/>
    <w:rsid w:val="00475FCB"/>
    <w:rsid w:val="00A2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235A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A235AA"/>
    <w:pPr>
      <w:ind w:left="720"/>
    </w:pPr>
  </w:style>
  <w:style w:type="numbering" w:customStyle="1" w:styleId="WWNum1">
    <w:name w:val="WWNum1"/>
    <w:basedOn w:val="Semlista"/>
    <w:rsid w:val="00A235A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2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5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235A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A235AA"/>
    <w:pPr>
      <w:ind w:left="720"/>
    </w:pPr>
  </w:style>
  <w:style w:type="numbering" w:customStyle="1" w:styleId="WWNum1">
    <w:name w:val="WWNum1"/>
    <w:basedOn w:val="Semlista"/>
    <w:rsid w:val="00A235A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2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2026-03-10T15:10:00Z</dcterms:created>
  <dcterms:modified xsi:type="dcterms:W3CDTF">2026-03-10T15:13:00Z</dcterms:modified>
</cp:coreProperties>
</file>