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4253" w14:textId="77777777" w:rsidR="00197A56" w:rsidRDefault="00000000">
      <w:pPr>
        <w:pBdr>
          <w:top w:val="single" w:sz="4" w:space="1" w:color="000000"/>
          <w:left w:val="single" w:sz="4" w:space="4" w:color="000000"/>
          <w:bottom w:val="single" w:sz="4" w:space="1" w:color="000000"/>
          <w:right w:val="single" w:sz="4" w:space="4" w:color="000000"/>
        </w:pBdr>
        <w:jc w:val="center"/>
        <w:rPr>
          <w:rFonts w:ascii="Arial" w:hAnsi="Arial"/>
          <w:sz w:val="22"/>
          <w:szCs w:val="22"/>
        </w:rPr>
      </w:pPr>
      <w:r>
        <w:rPr>
          <w:rFonts w:ascii="Arial" w:hAnsi="Arial" w:cs="Arial"/>
          <w:b/>
          <w:sz w:val="22"/>
          <w:szCs w:val="22"/>
        </w:rPr>
        <w:t>PARECER DA COMISSÃO DE CONSTITUIÇÃO, JUSTIÇA</w:t>
      </w:r>
    </w:p>
    <w:p w14:paraId="078E1012" w14:textId="77777777" w:rsidR="00197A56" w:rsidRDefault="00000000">
      <w:pPr>
        <w:pBdr>
          <w:top w:val="single" w:sz="4" w:space="1" w:color="000000"/>
          <w:left w:val="single" w:sz="4" w:space="4" w:color="000000"/>
          <w:bottom w:val="single" w:sz="4" w:space="1" w:color="000000"/>
          <w:right w:val="single" w:sz="4" w:space="4" w:color="000000"/>
        </w:pBdr>
        <w:jc w:val="center"/>
        <w:rPr>
          <w:rFonts w:ascii="Arial" w:hAnsi="Arial"/>
          <w:sz w:val="22"/>
          <w:szCs w:val="22"/>
        </w:rPr>
      </w:pPr>
      <w:r>
        <w:rPr>
          <w:rFonts w:ascii="Arial" w:hAnsi="Arial" w:cs="Arial"/>
          <w:b/>
          <w:sz w:val="22"/>
          <w:szCs w:val="22"/>
        </w:rPr>
        <w:t>E REDAÇÃO FINAL</w:t>
      </w:r>
    </w:p>
    <w:p w14:paraId="700B3291" w14:textId="77777777" w:rsidR="00197A56" w:rsidRDefault="00197A56">
      <w:pPr>
        <w:jc w:val="both"/>
        <w:rPr>
          <w:rFonts w:ascii="Arial" w:hAnsi="Arial" w:cs="Arial"/>
          <w:b/>
          <w:bCs/>
          <w:sz w:val="22"/>
          <w:szCs w:val="22"/>
        </w:rPr>
      </w:pPr>
    </w:p>
    <w:p w14:paraId="789FE610" w14:textId="77777777" w:rsidR="00197A56" w:rsidRDefault="00000000">
      <w:pPr>
        <w:jc w:val="both"/>
        <w:rPr>
          <w:rFonts w:ascii="Arial" w:hAnsi="Arial"/>
          <w:sz w:val="22"/>
          <w:szCs w:val="22"/>
        </w:rPr>
      </w:pPr>
      <w:bookmarkStart w:id="0" w:name="_Hlk95398015"/>
      <w:r>
        <w:rPr>
          <w:rFonts w:ascii="Arial" w:hAnsi="Arial" w:cs="Arial"/>
          <w:b/>
          <w:bCs/>
          <w:sz w:val="22"/>
          <w:szCs w:val="22"/>
        </w:rPr>
        <w:t xml:space="preserve">Projeto de Lei do Legislativo Municipal nº 009/2024, </w:t>
      </w:r>
      <w:r>
        <w:rPr>
          <w:rFonts w:ascii="Arial" w:hAnsi="Arial" w:cs="Arial"/>
          <w:sz w:val="22"/>
          <w:szCs w:val="22"/>
        </w:rPr>
        <w:t>de origem do Poder Legislativo dispõe sobra a proibição de Som de 85 (oitenta e cinco) decibéis em eventos fechados no município de Lagoa Bonita do Sul e da outras providências</w:t>
      </w:r>
      <w:bookmarkStart w:id="1" w:name="_Hlk83729019"/>
      <w:bookmarkEnd w:id="0"/>
      <w:r>
        <w:rPr>
          <w:rFonts w:ascii="Arial" w:hAnsi="Arial" w:cs="Arial"/>
          <w:sz w:val="22"/>
          <w:szCs w:val="22"/>
        </w:rPr>
        <w:t>.</w:t>
      </w:r>
      <w:bookmarkEnd w:id="1"/>
    </w:p>
    <w:p w14:paraId="2949FF68" w14:textId="77777777" w:rsidR="00197A56" w:rsidRDefault="00197A56">
      <w:pPr>
        <w:jc w:val="both"/>
        <w:rPr>
          <w:rFonts w:ascii="Arial" w:hAnsi="Arial" w:cs="Arial"/>
          <w:sz w:val="22"/>
          <w:szCs w:val="22"/>
        </w:rPr>
      </w:pPr>
    </w:p>
    <w:p w14:paraId="16D7FB8C" w14:textId="77777777" w:rsidR="00197A56" w:rsidRDefault="00000000">
      <w:pPr>
        <w:pBdr>
          <w:top w:val="single" w:sz="4" w:space="1" w:color="000000"/>
          <w:left w:val="single" w:sz="4" w:space="4" w:color="000000"/>
          <w:bottom w:val="single" w:sz="4" w:space="1" w:color="000000"/>
          <w:right w:val="single" w:sz="4" w:space="4" w:color="000000"/>
        </w:pBdr>
        <w:jc w:val="center"/>
        <w:rPr>
          <w:rFonts w:ascii="Arial" w:hAnsi="Arial"/>
          <w:sz w:val="22"/>
          <w:szCs w:val="22"/>
        </w:rPr>
      </w:pPr>
      <w:r>
        <w:rPr>
          <w:rFonts w:ascii="Arial" w:hAnsi="Arial" w:cs="Arial"/>
          <w:b/>
          <w:sz w:val="22"/>
          <w:szCs w:val="22"/>
        </w:rPr>
        <w:t>PARECER</w:t>
      </w:r>
    </w:p>
    <w:p w14:paraId="76D9D743" w14:textId="77777777" w:rsidR="00197A56" w:rsidRDefault="00197A56">
      <w:pPr>
        <w:ind w:firstLine="708"/>
        <w:jc w:val="both"/>
        <w:rPr>
          <w:rFonts w:ascii="Arial" w:hAnsi="Arial" w:cs="Arial"/>
          <w:sz w:val="22"/>
          <w:szCs w:val="22"/>
        </w:rPr>
      </w:pPr>
    </w:p>
    <w:p w14:paraId="1E242864" w14:textId="77777777" w:rsidR="00197A56" w:rsidRDefault="00197A56">
      <w:pPr>
        <w:spacing w:line="276" w:lineRule="auto"/>
        <w:jc w:val="both"/>
        <w:rPr>
          <w:rFonts w:ascii="Arial" w:hAnsi="Arial" w:cs="Arial"/>
          <w:sz w:val="22"/>
          <w:szCs w:val="22"/>
        </w:rPr>
      </w:pPr>
    </w:p>
    <w:p w14:paraId="6C2E5253" w14:textId="77777777" w:rsidR="00197A56" w:rsidRDefault="00000000">
      <w:pPr>
        <w:pStyle w:val="PargrafodaLista"/>
        <w:numPr>
          <w:ilvl w:val="0"/>
          <w:numId w:val="1"/>
        </w:numPr>
        <w:spacing w:line="276" w:lineRule="auto"/>
        <w:jc w:val="both"/>
        <w:rPr>
          <w:rFonts w:ascii="Arial" w:hAnsi="Arial"/>
          <w:sz w:val="22"/>
          <w:szCs w:val="22"/>
        </w:rPr>
      </w:pPr>
      <w:r>
        <w:rPr>
          <w:rFonts w:ascii="Arial" w:hAnsi="Arial" w:cs="Arial"/>
          <w:b/>
          <w:sz w:val="22"/>
          <w:szCs w:val="22"/>
        </w:rPr>
        <w:t xml:space="preserve">Da competência para legislar sobre a matéria. </w:t>
      </w:r>
    </w:p>
    <w:p w14:paraId="48193DBA" w14:textId="77777777" w:rsidR="00197A56" w:rsidRDefault="00197A56">
      <w:pPr>
        <w:pStyle w:val="PargrafodaLista"/>
        <w:spacing w:line="276" w:lineRule="auto"/>
        <w:ind w:left="1428"/>
        <w:jc w:val="both"/>
        <w:rPr>
          <w:rFonts w:ascii="Arial" w:hAnsi="Arial" w:cs="Arial"/>
          <w:b/>
          <w:sz w:val="22"/>
          <w:szCs w:val="22"/>
        </w:rPr>
      </w:pPr>
    </w:p>
    <w:p w14:paraId="0B61E0EA"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A Constituição da República (CR) atribuiu, em seu art. 24, inciso VI, a competência concorrente entre União, Estados e Distrito Federal para legislar acerca da proteção ao Meio Ambiente, nos seguintes termos: </w:t>
      </w:r>
    </w:p>
    <w:p w14:paraId="44FE2A67" w14:textId="77777777" w:rsidR="00197A56" w:rsidRDefault="00000000">
      <w:pPr>
        <w:spacing w:line="276" w:lineRule="auto"/>
        <w:ind w:firstLine="708"/>
        <w:jc w:val="both"/>
        <w:rPr>
          <w:rFonts w:ascii="Arial" w:hAnsi="Arial"/>
          <w:sz w:val="22"/>
          <w:szCs w:val="22"/>
        </w:rPr>
      </w:pPr>
      <w:r>
        <w:rPr>
          <w:rFonts w:ascii="Arial" w:hAnsi="Arial" w:cs="Arial"/>
          <w:i/>
          <w:iCs/>
          <w:sz w:val="22"/>
          <w:szCs w:val="22"/>
        </w:rPr>
        <w:t xml:space="preserve">Art. 24. Compete à União, aos Estados e ao Distrito Federal legislar concorrentemente sobre: […] VI - florestas, caça, pesca, fauna, conservação da natureza, defesa do solo e dos recursos naturais, proteção do meio ambiente e controle da poluição; […] § 1º No âmbito da legislação concorrente, a competência da União limitar-se-á a estabelecer normas gerais. § 2º A competência da União para legislar sobre normas gerais não exclui a competência suplementar dos Estados. § 3º Inexistindo lei federal sobre normas gerais, os Estados exercerão a competência legislativa plena, para atender a suas peculiaridades. § 4º A superveniência de lei federal sobre normas gerais suspende a eficácia da lei estadual, no que lhe for contrário. </w:t>
      </w:r>
    </w:p>
    <w:p w14:paraId="65AD9080"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Através da interpretação extraída dos dispositivos acima mencionados, é possível inferir que a competência concorrente terá executoriedade através da edição, pela União, de normas gerais sobre o assunto, que serão suplementadas pelos Estados e pelo Distrito Federal naquilo que forem omissas, cabendo ressaltar que na hipótese de legislação federal superveniente contrária às nomas estaduais, estas últimas perderão a eficácia naquilo em que houver contrariedade. Diante deste contexto, vale ressaltar que, na matéria ambiental especificamente, nem todas as normas editadas pela União terão caráter nacional, ou seja, configurarão regras gerais acerca da matéria a serem respeitadas por todos os demais entes. Muito embora não possa ser descartada a tarefa de o órgão, também, atuar como legislador federal, criando normas que, nesse contexto, irão disciplinar sobre sua própria atuação nesse campo, tratando da organização de seus serviços, de seu aparelhamento, de seu pessoal, dentre outras questões voltadas especificamente ao desempenho de suas atribuições e da sua atuação concreta na proteção e preservação do meio ambiente, afigurando-se como normas cuja observância obrigatória, em regra, será dos órgãos federais. </w:t>
      </w:r>
    </w:p>
    <w:p w14:paraId="4E8D6B98"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A mesma lógica poderá ser aplicada aos Estados que, por vezes, atuarão regulamentando sua administração interna e os procedimentos que adotarão para cumprimento de sua competência ambiental, hipótese em que suas normas vincularão, com obrigatoriedade, seu campo próprio. Este entendimento pode ser extraído através de uma interpretação extensiva do art. 23, VI e VII, da Constituição Federal, conforme segue: </w:t>
      </w:r>
    </w:p>
    <w:p w14:paraId="2265920B" w14:textId="77777777" w:rsidR="00197A56" w:rsidRDefault="00000000">
      <w:pPr>
        <w:spacing w:line="276" w:lineRule="auto"/>
        <w:ind w:firstLine="708"/>
        <w:jc w:val="both"/>
        <w:rPr>
          <w:rFonts w:ascii="Arial" w:hAnsi="Arial"/>
          <w:sz w:val="22"/>
          <w:szCs w:val="22"/>
        </w:rPr>
      </w:pPr>
      <w:r>
        <w:rPr>
          <w:rFonts w:ascii="Arial" w:hAnsi="Arial" w:cs="Arial"/>
          <w:i/>
          <w:iCs/>
          <w:sz w:val="22"/>
          <w:szCs w:val="22"/>
        </w:rPr>
        <w:t xml:space="preserve">Art. 23. É competência comum da União, dos Estados, do Distrito Federal e dos Municípios: […] VI - proteger o meio ambiente e </w:t>
      </w:r>
      <w:r>
        <w:rPr>
          <w:rFonts w:ascii="Arial" w:hAnsi="Arial" w:cs="Arial"/>
          <w:b/>
          <w:bCs/>
          <w:i/>
          <w:iCs/>
          <w:sz w:val="22"/>
          <w:szCs w:val="22"/>
        </w:rPr>
        <w:t xml:space="preserve">combater a poluição em qualquer de suas formas; </w:t>
      </w:r>
    </w:p>
    <w:p w14:paraId="2DA07216"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Isso porque a competência comum a todos os entes federados, para proteção e preservação do meio ambiente, faz surgir também, por força do princípio da legalidade, a </w:t>
      </w:r>
      <w:r>
        <w:rPr>
          <w:rFonts w:ascii="Arial" w:hAnsi="Arial" w:cs="Arial"/>
          <w:sz w:val="22"/>
          <w:szCs w:val="22"/>
        </w:rPr>
        <w:lastRenderedPageBreak/>
        <w:t xml:space="preserve">viabilidade de que os órgãos legislem sobre a organização das atividades que levarão ao objetivo postulado, o que inclui, por exemplo, a forma como os seus atos serão executados e os parâmetros para custeio de eventuais despesas realizadas para tal, sob pena de esvaziar a competência material trazida pelo texto constitucional. Esta lógica, cabe ressaltar, valerá tanto para a União e para os Estados, conforme já explicitado, quanto para os Municípios, que, aqui, poderão legislar acerca de assuntos ambientais que lhes sejam de interesse, mormente voltados para suas formas de atuação frente à matéria. Corroborando esta tese, há de se destacar o art. 30, incisos I e II, da Constituição Federal, com a regra de que competirá aos Municípios legislar sobre assuntos de interesse local, bem como suplementar a legislação federal e estadual no que couber: </w:t>
      </w:r>
    </w:p>
    <w:p w14:paraId="7F457168" w14:textId="77777777" w:rsidR="00197A56" w:rsidRDefault="00000000">
      <w:pPr>
        <w:spacing w:line="276" w:lineRule="auto"/>
        <w:ind w:firstLine="708"/>
        <w:jc w:val="both"/>
        <w:rPr>
          <w:rFonts w:ascii="Arial" w:hAnsi="Arial"/>
          <w:sz w:val="22"/>
          <w:szCs w:val="22"/>
        </w:rPr>
      </w:pPr>
      <w:r>
        <w:rPr>
          <w:rFonts w:ascii="Arial" w:hAnsi="Arial" w:cs="Arial"/>
          <w:i/>
          <w:iCs/>
          <w:sz w:val="22"/>
          <w:szCs w:val="22"/>
        </w:rPr>
        <w:t xml:space="preserve">Art. 30. Compete aos Municípios: I - legislar sobre assuntos de interesse local; II - suplementar a legislação federal e a estadual no que couber; </w:t>
      </w:r>
    </w:p>
    <w:p w14:paraId="261CA48F"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Diante do exposto, é possível constatar que, desde que não contrarie o disposto nas legislações estaduais e federal, o Município poderá editar legislação própria acerca da matéria ambiental, sobretudo para tratar de questões voltadas a sua fiscalização interna para cumprimento de sua competência constitucional de proteção e preservação do meio ambiente, o que inclui a limitação de ruídos e sons dentro do seu território. A competência do município para regulamentar a matéria também encontra guarida junto ao art. 6º, inciso XI, da Lei Orgânica local, que diz: </w:t>
      </w:r>
    </w:p>
    <w:p w14:paraId="33E1CC81" w14:textId="77777777" w:rsidR="00197A56" w:rsidRDefault="00000000">
      <w:pPr>
        <w:spacing w:line="276" w:lineRule="auto"/>
        <w:ind w:firstLine="708"/>
        <w:jc w:val="both"/>
        <w:rPr>
          <w:rFonts w:ascii="Arial" w:hAnsi="Arial"/>
          <w:sz w:val="22"/>
          <w:szCs w:val="22"/>
        </w:rPr>
      </w:pPr>
      <w:r>
        <w:rPr>
          <w:rFonts w:ascii="Arial" w:hAnsi="Arial" w:cs="Arial"/>
          <w:i/>
          <w:iCs/>
          <w:sz w:val="22"/>
          <w:szCs w:val="22"/>
        </w:rPr>
        <w:t xml:space="preserve">Art. 6º Compete ao Município, no exercício de sua autonomia: [...] XI - Estabelecer normas de prevenção e </w:t>
      </w:r>
      <w:r>
        <w:rPr>
          <w:rFonts w:ascii="Arial" w:hAnsi="Arial" w:cs="Arial"/>
          <w:b/>
          <w:bCs/>
          <w:i/>
          <w:iCs/>
          <w:sz w:val="22"/>
          <w:szCs w:val="22"/>
        </w:rPr>
        <w:t>controle de ruídos</w:t>
      </w:r>
      <w:r>
        <w:rPr>
          <w:rFonts w:ascii="Arial" w:hAnsi="Arial" w:cs="Arial"/>
          <w:i/>
          <w:iCs/>
          <w:sz w:val="22"/>
          <w:szCs w:val="22"/>
        </w:rPr>
        <w:t>, poluição, do meio ambiente, espaço aéreo e das águas; (grifamos).</w:t>
      </w:r>
    </w:p>
    <w:p w14:paraId="786F406F"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Não se descarte que essa competência constitucional pode englobar, ainda, uma atuação externa do órgão ambiental municipal. No entanto, para isso, deve ser observado o regramento colacionado alhures, visando o respeito à hierarquia no tocante à competência concorrente. Logo, naquilo que a norma federal/estadual for omissa, inexistir ou, ainda, o que for repassado enquanto competência para o órgão ambiental local (de forma literal em algum preceito legal), poderá o administrador municipal exercer sua competência plena, desde que não traga eventual malefício para a proteção ao meio ambiente, o que é vedado pela jurisprudência do Superior Tribunal de Justiça, “verbis”: </w:t>
      </w:r>
    </w:p>
    <w:p w14:paraId="5F07DEC7"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AMBIENTAL. PROCESSUAL CIVIL. AGRAVO EM RECURSO ESPECIAL. PROVIDO. RECURSO ESPECIAL. INTERPRETAÇÃO RESTRITIVA DO CÓDIGO FLORESTAL. INADEQUADA. ÁREA DE PRESERVAÇÃO PERMANENTE. </w:t>
      </w:r>
      <w:r>
        <w:rPr>
          <w:rFonts w:ascii="Arial" w:hAnsi="Arial" w:cs="Arial"/>
          <w:b/>
          <w:bCs/>
          <w:sz w:val="22"/>
          <w:szCs w:val="22"/>
        </w:rPr>
        <w:t>MAIOR PROTEÇÃO AMBIENTAL. PROVIMENTO</w:t>
      </w:r>
      <w:r>
        <w:rPr>
          <w:rFonts w:ascii="Arial" w:hAnsi="Arial" w:cs="Arial"/>
          <w:sz w:val="22"/>
          <w:szCs w:val="22"/>
        </w:rPr>
        <w:t xml:space="preserve">. RESPEITO AO LIMITE IMPOSTO PELO CÓDIGO FLORESTAL. [...] 2. A proteção ao meio ambiente integra axiologicamente o ordenamento jurídico brasileiro, sua preservação pelas normas infraconstitucionais deve respeitar a teleologia da Constituição Federal. </w:t>
      </w:r>
      <w:r>
        <w:rPr>
          <w:rFonts w:ascii="Arial" w:hAnsi="Arial" w:cs="Arial"/>
          <w:b/>
          <w:bCs/>
          <w:sz w:val="22"/>
          <w:szCs w:val="22"/>
        </w:rPr>
        <w:t xml:space="preserve">Desse modo, o ordenamento jurídico deve ser interpretado de forma sistêmica e harmônica, privilegiando os princípios do mínimo existencial ecológico e do ambiente ecologicamente equilibrado. </w:t>
      </w:r>
      <w:r>
        <w:rPr>
          <w:rFonts w:ascii="Arial" w:hAnsi="Arial" w:cs="Arial"/>
          <w:sz w:val="22"/>
          <w:szCs w:val="22"/>
        </w:rPr>
        <w:t xml:space="preserve">3. Na espécie, o Tribunal de origem interpretou o Código Florestal (Lei n. 4.771/1965) de maneira restritiva, pois considerou que o diploma legal estabeleceu limites máximos de proteção ambiental, podendo a legislação municipal reduzir o patamar protetivo. Ocorre que o colegiado a quo equivocou-se quanto à interpretação do supracitado diploma legal, pois </w:t>
      </w:r>
      <w:r>
        <w:rPr>
          <w:rFonts w:ascii="Arial" w:hAnsi="Arial" w:cs="Arial"/>
          <w:b/>
          <w:bCs/>
          <w:sz w:val="22"/>
          <w:szCs w:val="22"/>
        </w:rPr>
        <w:t>a norma federal conferiu uma proteção mínima, cabendo à legislação municipal apenas intensificar o grau de proteção às margens dos cursos de água, ou, quando muito, manter o patamar de proteção.</w:t>
      </w:r>
      <w:r>
        <w:rPr>
          <w:rFonts w:ascii="Arial" w:hAnsi="Arial" w:cs="Arial"/>
          <w:sz w:val="22"/>
          <w:szCs w:val="22"/>
        </w:rPr>
        <w:t xml:space="preserve"> 4. A proteção marginal dos cursos de água, em toda a sua extensão, possui importante papel de resguardo contra o assoreamento. O Código Florestal tutela em maior extensão e profundidade </w:t>
      </w:r>
      <w:r>
        <w:rPr>
          <w:rFonts w:ascii="Arial" w:hAnsi="Arial" w:cs="Arial"/>
          <w:sz w:val="22"/>
          <w:szCs w:val="22"/>
        </w:rPr>
        <w:lastRenderedPageBreak/>
        <w:t xml:space="preserve">o bem jurídico do meio ambiente, logo, é a norma específica a ser observada na espécie1. (grifamos) </w:t>
      </w:r>
    </w:p>
    <w:p w14:paraId="4BFA6D41"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Conforme já explanado, é possível que o Município edite suas próprias normas, sendo que este é, inclusive, o recomendado, para que a disciplina acerca do assunto leve em consideração as peculiaridades locais, devendo haver cuidado para que não contrarie as disposições já editadas em âmbito federal e estatal. </w:t>
      </w:r>
    </w:p>
    <w:p w14:paraId="613E4535" w14:textId="77777777" w:rsidR="00197A56" w:rsidRDefault="00197A56">
      <w:pPr>
        <w:spacing w:line="276" w:lineRule="auto"/>
        <w:jc w:val="center"/>
        <w:rPr>
          <w:rFonts w:ascii="Arial" w:hAnsi="Arial" w:cs="Arial"/>
          <w:b/>
          <w:bCs/>
          <w:sz w:val="22"/>
          <w:szCs w:val="22"/>
        </w:rPr>
      </w:pPr>
    </w:p>
    <w:p w14:paraId="2CF1DFFE" w14:textId="77777777" w:rsidR="00197A56" w:rsidRDefault="00000000">
      <w:pPr>
        <w:spacing w:line="276" w:lineRule="auto"/>
        <w:jc w:val="center"/>
        <w:rPr>
          <w:rFonts w:ascii="Arial" w:hAnsi="Arial"/>
          <w:sz w:val="22"/>
          <w:szCs w:val="22"/>
        </w:rPr>
      </w:pPr>
      <w:r>
        <w:rPr>
          <w:rFonts w:ascii="Arial" w:hAnsi="Arial" w:cs="Arial"/>
          <w:b/>
          <w:bCs/>
          <w:sz w:val="22"/>
          <w:szCs w:val="22"/>
        </w:rPr>
        <w:t xml:space="preserve">II - </w:t>
      </w:r>
      <w:r>
        <w:rPr>
          <w:rFonts w:ascii="Arial" w:hAnsi="Arial"/>
          <w:b/>
          <w:bCs/>
          <w:sz w:val="22"/>
          <w:szCs w:val="22"/>
        </w:rPr>
        <w:t xml:space="preserve">Da iniciativa para propor o Projeto de Lei. </w:t>
      </w:r>
    </w:p>
    <w:p w14:paraId="562ACFAA" w14:textId="77777777" w:rsidR="00197A56" w:rsidRDefault="00197A56">
      <w:pPr>
        <w:spacing w:line="276" w:lineRule="auto"/>
        <w:jc w:val="center"/>
        <w:rPr>
          <w:rFonts w:ascii="Arial" w:hAnsi="Arial"/>
          <w:b/>
          <w:bCs/>
          <w:sz w:val="22"/>
          <w:szCs w:val="22"/>
        </w:rPr>
      </w:pPr>
    </w:p>
    <w:p w14:paraId="436D9608" w14:textId="77777777" w:rsidR="00197A56" w:rsidRDefault="00000000">
      <w:pPr>
        <w:spacing w:line="276" w:lineRule="auto"/>
        <w:jc w:val="both"/>
        <w:rPr>
          <w:rFonts w:ascii="Arial" w:hAnsi="Arial"/>
          <w:sz w:val="22"/>
          <w:szCs w:val="22"/>
        </w:rPr>
      </w:pPr>
      <w:r>
        <w:rPr>
          <w:rFonts w:ascii="Arial" w:hAnsi="Arial"/>
          <w:b/>
          <w:bCs/>
          <w:sz w:val="22"/>
          <w:szCs w:val="22"/>
        </w:rPr>
        <w:tab/>
      </w:r>
      <w:r>
        <w:rPr>
          <w:rFonts w:ascii="Arial" w:hAnsi="Arial"/>
          <w:sz w:val="22"/>
          <w:szCs w:val="22"/>
        </w:rPr>
        <w:t xml:space="preserve">No que se refere ao exercício da iniciativa legislativa da proposição, segundo o art. 39, caput, da Lei Orgânica do Município, como regra, a iniciativa das leis será concorrente, salvo nos casos de competência exclusiva. Senão, vejamos: Art. 39. A iniciativa de leis ordinárias municipais, salvo nos casos de competência exclusiva, cabe: I - Aos Vereadores, individual ou coletivamente; II - Ao Prefeito; III - No mínimo, por cinco por cento do eleitorado do município. </w:t>
      </w:r>
    </w:p>
    <w:p w14:paraId="5E21929C" w14:textId="77777777" w:rsidR="00197A56" w:rsidRDefault="00000000">
      <w:pPr>
        <w:spacing w:line="276" w:lineRule="auto"/>
        <w:jc w:val="both"/>
        <w:rPr>
          <w:rFonts w:ascii="Arial" w:hAnsi="Arial"/>
          <w:sz w:val="22"/>
          <w:szCs w:val="22"/>
        </w:rPr>
      </w:pPr>
      <w:r>
        <w:rPr>
          <w:rFonts w:ascii="Arial" w:hAnsi="Arial"/>
          <w:b/>
          <w:bCs/>
          <w:sz w:val="22"/>
          <w:szCs w:val="22"/>
        </w:rPr>
        <w:tab/>
      </w:r>
      <w:r>
        <w:rPr>
          <w:rFonts w:ascii="Arial" w:hAnsi="Arial"/>
          <w:sz w:val="22"/>
          <w:szCs w:val="22"/>
        </w:rPr>
        <w:t>Nesse sentido, segundo entendimento fixado pelo Supremo Tribunal Federal, no Tema nº 917: “</w:t>
      </w:r>
      <w:r>
        <w:rPr>
          <w:rFonts w:ascii="Arial" w:hAnsi="Arial"/>
          <w:i/>
          <w:iCs/>
          <w:sz w:val="22"/>
          <w:szCs w:val="22"/>
        </w:rPr>
        <w:t>Não usurpa competência privativa do Chefe do Poder Executivo lei que, embora crie despesa para a Administração, não trata da sua estrutura ou da atribuição de seus órgãos nem do regime jurídico de servidores públicos”</w:t>
      </w:r>
      <w:r>
        <w:rPr>
          <w:rFonts w:ascii="Arial" w:hAnsi="Arial"/>
          <w:sz w:val="22"/>
          <w:szCs w:val="22"/>
        </w:rPr>
        <w:t xml:space="preserve">. Para tanto, o disposto no art. 57, da Lei Orgânica do Município assim disciplina: </w:t>
      </w:r>
      <w:r>
        <w:rPr>
          <w:rFonts w:ascii="Arial" w:hAnsi="Arial"/>
          <w:i/>
          <w:iCs/>
          <w:sz w:val="22"/>
          <w:szCs w:val="22"/>
        </w:rPr>
        <w:t xml:space="preserve">Art. 57. Compete ao Prefeito entre outras atribuições; [...] VII - Dispor sobre a organização e o funcionamento da Administração Municipal, na forma da Lei. [...] X - Prover e extinguir os cargos, os empregos e as funções públicas municipais, na forma da Lei; </w:t>
      </w:r>
    </w:p>
    <w:p w14:paraId="4902657B" w14:textId="77777777" w:rsidR="00197A56" w:rsidRDefault="00000000">
      <w:pPr>
        <w:spacing w:line="276" w:lineRule="auto"/>
        <w:ind w:firstLine="708"/>
        <w:jc w:val="both"/>
        <w:rPr>
          <w:rFonts w:ascii="Arial" w:hAnsi="Arial"/>
          <w:sz w:val="22"/>
          <w:szCs w:val="22"/>
        </w:rPr>
      </w:pPr>
      <w:r>
        <w:rPr>
          <w:rFonts w:ascii="Arial" w:hAnsi="Arial" w:cs="Arial"/>
          <w:b/>
          <w:bCs/>
          <w:sz w:val="22"/>
          <w:szCs w:val="22"/>
        </w:rPr>
        <w:t xml:space="preserve"> </w:t>
      </w:r>
      <w:r>
        <w:rPr>
          <w:rFonts w:ascii="Arial" w:hAnsi="Arial"/>
          <w:sz w:val="22"/>
          <w:szCs w:val="22"/>
        </w:rPr>
        <w:t xml:space="preserve">Dito isso, considerada a origem legislativa do Projeto de Lei, pode ser considerado como </w:t>
      </w:r>
      <w:r>
        <w:rPr>
          <w:rFonts w:ascii="Arial" w:hAnsi="Arial"/>
          <w:b/>
          <w:bCs/>
          <w:sz w:val="22"/>
          <w:szCs w:val="22"/>
        </w:rPr>
        <w:t>formalmente inconstitucional,</w:t>
      </w:r>
      <w:r>
        <w:rPr>
          <w:rFonts w:ascii="Arial" w:hAnsi="Arial"/>
          <w:sz w:val="22"/>
          <w:szCs w:val="22"/>
        </w:rPr>
        <w:t xml:space="preserve"> por agressão ao princípio da independência entre os Poderes, art. 10, da Carta Estadual, e, mais precisamente, ao </w:t>
      </w:r>
      <w:r>
        <w:rPr>
          <w:rFonts w:ascii="Arial" w:hAnsi="Arial"/>
          <w:b/>
          <w:bCs/>
          <w:sz w:val="22"/>
          <w:szCs w:val="22"/>
        </w:rPr>
        <w:t xml:space="preserve">art. 60, II, d, da mesma Carta, que atribui privativamente ao Executivo as Leis que disponham sobre a “criação, estruturação e atribuições das Secretarias e órgãos da administração pública.” </w:t>
      </w:r>
      <w:r>
        <w:rPr>
          <w:rFonts w:ascii="Arial" w:hAnsi="Arial"/>
          <w:sz w:val="22"/>
          <w:szCs w:val="22"/>
        </w:rPr>
        <w:t xml:space="preserve">Nesse sentido, é a posição do Tribunal de Justiça do Estado, como é exemplo a decisão cuja ementa transcrevemos: </w:t>
      </w:r>
    </w:p>
    <w:p w14:paraId="7BFBEE5B" w14:textId="77777777" w:rsidR="00197A56" w:rsidRDefault="00000000">
      <w:pPr>
        <w:spacing w:line="276" w:lineRule="auto"/>
        <w:ind w:firstLine="708"/>
        <w:jc w:val="both"/>
        <w:rPr>
          <w:rFonts w:ascii="Arial" w:hAnsi="Arial"/>
          <w:sz w:val="22"/>
          <w:szCs w:val="22"/>
        </w:rPr>
      </w:pPr>
      <w:r>
        <w:rPr>
          <w:rFonts w:ascii="Arial" w:hAnsi="Arial" w:cs="Arial"/>
          <w:sz w:val="22"/>
          <w:szCs w:val="22"/>
        </w:rPr>
        <w:t>AÇÃO DIRETA DE INCONSTITUCIONALIDADE. MUNICÍPIO DE ALVORADA. LEI MUNICIPAL N. 3.485/2021. LEI QUE DISPÔS SOBRE O PERÍODO DE TOLERÂNCIA E ESTABELECEU ISENÇÃO DE COBRANÇA A IDOSOS E DEFICIENTES FÍSICOS NO SISTEMA DE ESTACIONAMENTO ROTATIVO PAGO NAS VIAS E LOGRADOUROS PÚBLICOS DO MUNICÍPIO. VÍCIO FORMAL. INICIATIVA PRIVATIVA DO CHEFE DO PODER EXECUTIVO MUNICIPAL. INCONSTITUCIONALIDADE AÇÃO JULGADA DIRETA DE PROCEDENTE. UNÂNIME. (Direta de Inconstitucionalidade, Nº 70085282507, Tribunal Pleno, Tribunal de Justiça do RS, Relator: Vicente Barrôco de Vasconcellos, Julgado em: 10-12-2021).</w:t>
      </w:r>
    </w:p>
    <w:p w14:paraId="0AF40EA0"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Diante deste cenário, e a partir das disposições do Projeto de Lei n º 009/2024, que traz diretamente as ações e providências a serem adotadas pelos agentes fiscais do Poder Executivo (arts. 2º parágrafo único, e 3º da proposição), entendemos pela </w:t>
      </w:r>
      <w:r>
        <w:rPr>
          <w:rFonts w:ascii="Arial" w:hAnsi="Arial" w:cs="Arial"/>
          <w:b/>
          <w:bCs/>
          <w:sz w:val="22"/>
          <w:szCs w:val="22"/>
        </w:rPr>
        <w:t>inviabilidade da proposição na forma apresentada, eis que de iniciativa parlamentar, agredindo o princípio da independência entre os poderes, previsto no art. 2º da Constituição Federal de 1988</w:t>
      </w:r>
      <w:r>
        <w:rPr>
          <w:rFonts w:ascii="Arial" w:hAnsi="Arial" w:cs="Arial"/>
          <w:sz w:val="22"/>
          <w:szCs w:val="22"/>
        </w:rPr>
        <w:t xml:space="preserve">. </w:t>
      </w:r>
    </w:p>
    <w:p w14:paraId="4FE1C373" w14:textId="77777777" w:rsidR="00197A56" w:rsidRDefault="00197A56">
      <w:pPr>
        <w:spacing w:line="276" w:lineRule="auto"/>
        <w:jc w:val="center"/>
        <w:rPr>
          <w:rFonts w:ascii="Arial" w:hAnsi="Arial" w:cs="Arial"/>
          <w:sz w:val="22"/>
          <w:szCs w:val="22"/>
        </w:rPr>
      </w:pPr>
    </w:p>
    <w:p w14:paraId="2313FCE1" w14:textId="77777777" w:rsidR="00197A56" w:rsidRDefault="00000000">
      <w:pPr>
        <w:spacing w:line="276" w:lineRule="auto"/>
        <w:jc w:val="center"/>
        <w:rPr>
          <w:rFonts w:ascii="Arial" w:hAnsi="Arial"/>
          <w:sz w:val="22"/>
          <w:szCs w:val="22"/>
        </w:rPr>
      </w:pPr>
      <w:r>
        <w:rPr>
          <w:rFonts w:ascii="Arial" w:hAnsi="Arial" w:cs="Arial"/>
          <w:b/>
          <w:bCs/>
          <w:sz w:val="22"/>
          <w:szCs w:val="22"/>
        </w:rPr>
        <w:t xml:space="preserve">III - Dos Aspectos Formais </w:t>
      </w:r>
    </w:p>
    <w:p w14:paraId="50D8FF02" w14:textId="77777777" w:rsidR="00197A56" w:rsidRDefault="00197A56">
      <w:pPr>
        <w:spacing w:line="276" w:lineRule="auto"/>
        <w:jc w:val="center"/>
        <w:rPr>
          <w:rFonts w:ascii="Arial" w:hAnsi="Arial" w:cs="Arial"/>
          <w:sz w:val="22"/>
          <w:szCs w:val="22"/>
        </w:rPr>
      </w:pPr>
    </w:p>
    <w:p w14:paraId="2FBBBD34"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Lei Complementar nº 95/1998. A Lei Complementar nº 95, de 26/02/1998 “Dispõe sobre a elaboração, a redação, a alteração e a consolidação das leis, conforme determina o parágrafo </w:t>
      </w:r>
      <w:r>
        <w:rPr>
          <w:rFonts w:ascii="Arial" w:hAnsi="Arial" w:cs="Arial"/>
          <w:sz w:val="22"/>
          <w:szCs w:val="22"/>
        </w:rPr>
        <w:lastRenderedPageBreak/>
        <w:t xml:space="preserve">único do art. 59 da Constituição Federal e estabelece normas para a consolidação dos atos normativos que menciona.” </w:t>
      </w:r>
    </w:p>
    <w:p w14:paraId="505646B0"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Considerando o texto do projeto de lei, entendemos que a propositura atende aos requisitos da referida Lei Complementar, especialmente no comparativo com o disposto em seu art. 3º: Art. 3o A lei será estruturada em três partes básicas: I - parte preliminar, compreendendo a epígrafe, a ementa, o preâmbulo, o enunciado do objeto e a indicação do âmbito de aplicação das disposições normativas; II - parte normativa, compreendendo o texto das normas de conteúdo substantivo relacionadas com a matéria regulada; III - parte final, compreendendo as disposições pertinentes às medidas necessárias à implementação das normas de conteúdo substantivo, às disposições transitórias, se for o caso, a cláusula de vigência e a cláusula de revogação, quando couber. </w:t>
      </w:r>
    </w:p>
    <w:p w14:paraId="18E29CC4" w14:textId="77777777" w:rsidR="00197A56" w:rsidRDefault="00000000">
      <w:pPr>
        <w:spacing w:line="276" w:lineRule="auto"/>
        <w:ind w:firstLine="708"/>
        <w:jc w:val="both"/>
        <w:rPr>
          <w:rFonts w:ascii="Arial" w:hAnsi="Arial"/>
          <w:sz w:val="22"/>
          <w:szCs w:val="22"/>
        </w:rPr>
      </w:pPr>
      <w:r>
        <w:rPr>
          <w:rFonts w:ascii="Arial" w:hAnsi="Arial" w:cs="Arial"/>
          <w:sz w:val="22"/>
          <w:szCs w:val="22"/>
        </w:rPr>
        <w:t xml:space="preserve">Recomendamos, apenas, a correção do texto do inciso III do art. 2º da propositura, eis que não encontra a melhor técnica legislativa, na medida em que cria novo parágrafo num inciso. </w:t>
      </w:r>
    </w:p>
    <w:p w14:paraId="48A4C1FA" w14:textId="77777777" w:rsidR="00197A56" w:rsidRDefault="00197A56">
      <w:pPr>
        <w:spacing w:line="276" w:lineRule="auto"/>
        <w:ind w:firstLine="708"/>
        <w:jc w:val="both"/>
        <w:rPr>
          <w:rFonts w:ascii="Arial" w:hAnsi="Arial" w:cs="Arial"/>
          <w:sz w:val="22"/>
          <w:szCs w:val="22"/>
        </w:rPr>
      </w:pPr>
    </w:p>
    <w:p w14:paraId="73B26531" w14:textId="77777777" w:rsidR="00197A56" w:rsidRDefault="00000000">
      <w:pPr>
        <w:spacing w:line="276" w:lineRule="auto"/>
        <w:jc w:val="center"/>
        <w:rPr>
          <w:rFonts w:ascii="Arial" w:hAnsi="Arial"/>
          <w:sz w:val="22"/>
          <w:szCs w:val="22"/>
        </w:rPr>
      </w:pPr>
      <w:r>
        <w:rPr>
          <w:rFonts w:ascii="Arial" w:hAnsi="Arial" w:cs="Arial"/>
          <w:b/>
          <w:bCs/>
          <w:sz w:val="22"/>
          <w:szCs w:val="22"/>
        </w:rPr>
        <w:t>IV - Dos Aspectos Materiais</w:t>
      </w:r>
    </w:p>
    <w:p w14:paraId="1DE0ECAF" w14:textId="77777777" w:rsidR="00197A56" w:rsidRDefault="00197A56">
      <w:pPr>
        <w:spacing w:line="276" w:lineRule="auto"/>
        <w:jc w:val="center"/>
        <w:rPr>
          <w:rFonts w:ascii="Arial" w:hAnsi="Arial" w:cs="Arial"/>
          <w:sz w:val="22"/>
          <w:szCs w:val="22"/>
        </w:rPr>
      </w:pPr>
    </w:p>
    <w:p w14:paraId="58E4ADFE" w14:textId="77777777" w:rsidR="00197A56" w:rsidRDefault="00000000">
      <w:pPr>
        <w:spacing w:line="276" w:lineRule="auto"/>
        <w:jc w:val="both"/>
        <w:rPr>
          <w:rFonts w:ascii="Arial" w:hAnsi="Arial"/>
          <w:sz w:val="22"/>
          <w:szCs w:val="22"/>
        </w:rPr>
      </w:pPr>
      <w:r>
        <w:rPr>
          <w:rFonts w:ascii="Arial" w:hAnsi="Arial" w:cs="Arial"/>
          <w:b/>
          <w:bCs/>
          <w:sz w:val="22"/>
          <w:szCs w:val="22"/>
        </w:rPr>
        <w:tab/>
      </w:r>
      <w:r>
        <w:rPr>
          <w:rFonts w:ascii="Arial" w:hAnsi="Arial" w:cs="Arial"/>
          <w:sz w:val="22"/>
          <w:szCs w:val="22"/>
        </w:rPr>
        <w:t xml:space="preserve">Primeiramente, conforme o disposto no art. 210 do Código Estadual do Meio Ambiente (Lei Estadual nº 15.434/2020): Art. 210. Consideram-se prejudiciais à saúde e ao sossego público os níveis de sons e ruídos superiores aos estabelecidos pelas normas municipais e estaduais </w:t>
      </w:r>
      <w:r>
        <w:rPr>
          <w:rFonts w:ascii="Arial" w:hAnsi="Arial" w:cs="Arial"/>
          <w:b/>
          <w:bCs/>
          <w:sz w:val="22"/>
          <w:szCs w:val="22"/>
        </w:rPr>
        <w:t>ou, na ausência destas</w:t>
      </w:r>
      <w:r>
        <w:rPr>
          <w:rFonts w:ascii="Arial" w:hAnsi="Arial" w:cs="Arial"/>
          <w:sz w:val="22"/>
          <w:szCs w:val="22"/>
        </w:rPr>
        <w:t>, pelas normas vigentes da ABNT, sem prejuízo da aplicação das normas dos órgãos federais de trânsito e fiscalização do trabalho, quando couber, aplicando-se sempre a mais restritiva. (grifamos).</w:t>
      </w:r>
    </w:p>
    <w:p w14:paraId="57F3E0DC" w14:textId="77777777" w:rsidR="00197A56" w:rsidRDefault="00000000">
      <w:pPr>
        <w:spacing w:line="276" w:lineRule="auto"/>
        <w:jc w:val="both"/>
        <w:rPr>
          <w:rFonts w:ascii="Arial" w:hAnsi="Arial"/>
          <w:sz w:val="22"/>
          <w:szCs w:val="22"/>
        </w:rPr>
      </w:pPr>
      <w:r>
        <w:rPr>
          <w:rFonts w:ascii="Arial" w:hAnsi="Arial" w:cs="Arial"/>
          <w:sz w:val="22"/>
          <w:szCs w:val="22"/>
        </w:rPr>
        <w:tab/>
        <w:t xml:space="preserve">Veja-se que no âmbito local, não localizamos junto ao sitio eletrônico, qualquer normativa a respeito de regulação do sossego público, o que não impede, contudo, que o Poder Executivo ou, até mesmo, o Legislativo dentro da limitação inerente à Lei Orgânica ou Constituição, proceda na criação de uma regulamentação quanto ao tema. </w:t>
      </w:r>
    </w:p>
    <w:p w14:paraId="42062DDD" w14:textId="77777777" w:rsidR="00197A56" w:rsidRDefault="00000000">
      <w:pPr>
        <w:spacing w:line="276" w:lineRule="auto"/>
        <w:jc w:val="both"/>
        <w:rPr>
          <w:rFonts w:ascii="Arial" w:hAnsi="Arial"/>
          <w:sz w:val="22"/>
          <w:szCs w:val="22"/>
        </w:rPr>
      </w:pPr>
      <w:r>
        <w:rPr>
          <w:rFonts w:ascii="Arial" w:hAnsi="Arial" w:cs="Arial"/>
          <w:sz w:val="22"/>
          <w:szCs w:val="22"/>
        </w:rPr>
        <w:tab/>
      </w:r>
      <w:r>
        <w:rPr>
          <w:rFonts w:ascii="Arial" w:hAnsi="Arial" w:cs="Arial"/>
          <w:b/>
          <w:bCs/>
          <w:sz w:val="22"/>
          <w:szCs w:val="22"/>
        </w:rPr>
        <w:t>Ainda sobre o objeto do Projeto de Lei, recomenda-se que haja estudo técnico no sentido de indicar a motivação pela qual os decibéis estão definidos como aqueles constantes no texto, visando evitar inviabilizar a realização de eventos na municipalidade.</w:t>
      </w:r>
      <w:r>
        <w:rPr>
          <w:rFonts w:ascii="Arial" w:hAnsi="Arial" w:cs="Arial"/>
          <w:sz w:val="22"/>
          <w:szCs w:val="22"/>
        </w:rPr>
        <w:t xml:space="preserve"> Da mesma forma, é prudente que haja uma avaliação quanto ao zoneamento do município, visando construir diferentes regramentos a depender de cada local (por exemplo, perto de hospitais, zonas residenciais etc.). </w:t>
      </w:r>
    </w:p>
    <w:p w14:paraId="021A5E3E" w14:textId="77777777" w:rsidR="00197A56" w:rsidRDefault="00000000">
      <w:pPr>
        <w:spacing w:line="276" w:lineRule="auto"/>
        <w:jc w:val="both"/>
        <w:rPr>
          <w:rFonts w:ascii="Arial" w:hAnsi="Arial"/>
          <w:sz w:val="22"/>
          <w:szCs w:val="22"/>
        </w:rPr>
      </w:pPr>
      <w:r>
        <w:rPr>
          <w:rFonts w:ascii="Arial" w:hAnsi="Arial" w:cs="Arial"/>
          <w:sz w:val="22"/>
          <w:szCs w:val="22"/>
        </w:rPr>
        <w:tab/>
        <w:t xml:space="preserve">As nomenclaturas indicadas no inciso III do art. 2º devem estar em consonância com o conceito legal da Lei Federal nº 6.938/1981, a saber: </w:t>
      </w:r>
    </w:p>
    <w:p w14:paraId="489E13AA" w14:textId="77777777" w:rsidR="00197A56" w:rsidRDefault="00000000">
      <w:pPr>
        <w:spacing w:line="276" w:lineRule="auto"/>
        <w:jc w:val="both"/>
        <w:rPr>
          <w:rFonts w:ascii="Arial" w:hAnsi="Arial"/>
          <w:sz w:val="22"/>
          <w:szCs w:val="22"/>
        </w:rPr>
      </w:pPr>
      <w:r>
        <w:rPr>
          <w:rFonts w:ascii="Arial" w:hAnsi="Arial" w:cs="Arial"/>
          <w:sz w:val="22"/>
          <w:szCs w:val="22"/>
        </w:rPr>
        <w:tab/>
        <w:t xml:space="preserve">Art. 3º. Para os fins previstos nesta Lei, entende-se por: [...] </w:t>
      </w:r>
      <w:r>
        <w:rPr>
          <w:rFonts w:ascii="Arial" w:hAnsi="Arial" w:cs="Arial"/>
          <w:b/>
          <w:bCs/>
          <w:sz w:val="22"/>
          <w:szCs w:val="22"/>
        </w:rPr>
        <w:t xml:space="preserve">III - poluição, a degradação da qualidade ambiental resultante de atividades que direta ou indiretamente: a) prejudiquem a saúde, a segurança e o bem-estar da população; </w:t>
      </w:r>
      <w:r>
        <w:rPr>
          <w:rFonts w:ascii="Arial" w:hAnsi="Arial" w:cs="Arial"/>
          <w:sz w:val="22"/>
          <w:szCs w:val="22"/>
        </w:rPr>
        <w:t xml:space="preserve">b) criem condições adversas às atividades sociais e econômicas; c) afetem desfavoravelmente a biota; d) afetem as condições estéticas ou sanitárias do meio ambiente; e) lancem matérias ou energia em desacordo com os padrões ambientais estabelecidos; </w:t>
      </w:r>
      <w:r>
        <w:rPr>
          <w:rFonts w:ascii="Arial" w:hAnsi="Arial" w:cs="Arial"/>
          <w:b/>
          <w:bCs/>
          <w:sz w:val="22"/>
          <w:szCs w:val="22"/>
        </w:rPr>
        <w:t xml:space="preserve">IV - poluidor, a pessoa física ou jurídica, de direito público ou privado, responsável, direta ou indiretamente, por atividade causadora de degradação ambiental; (grifamos) </w:t>
      </w:r>
    </w:p>
    <w:p w14:paraId="736541DD" w14:textId="77777777" w:rsidR="00197A56" w:rsidRDefault="00000000">
      <w:pPr>
        <w:spacing w:line="276" w:lineRule="auto"/>
        <w:jc w:val="both"/>
        <w:rPr>
          <w:rFonts w:ascii="Arial" w:hAnsi="Arial"/>
          <w:sz w:val="22"/>
          <w:szCs w:val="22"/>
        </w:rPr>
      </w:pPr>
      <w:r>
        <w:rPr>
          <w:rFonts w:ascii="Arial" w:hAnsi="Arial" w:cs="Arial"/>
          <w:sz w:val="22"/>
          <w:szCs w:val="22"/>
        </w:rPr>
        <w:tab/>
        <w:t xml:space="preserve">Também é recomendado que haja a conferência e melhor identificação da norma técnica salientada junto ao parágrafo único do art. 2º, para identificar o aparelho adequado à medição proposta. </w:t>
      </w:r>
    </w:p>
    <w:p w14:paraId="0E9CBBB7" w14:textId="77777777" w:rsidR="00197A56" w:rsidRDefault="00000000">
      <w:pPr>
        <w:spacing w:line="276" w:lineRule="auto"/>
        <w:jc w:val="both"/>
        <w:rPr>
          <w:rFonts w:ascii="Arial" w:hAnsi="Arial"/>
          <w:sz w:val="22"/>
          <w:szCs w:val="22"/>
        </w:rPr>
      </w:pPr>
      <w:r>
        <w:rPr>
          <w:rFonts w:ascii="Arial" w:hAnsi="Arial" w:cs="Arial"/>
          <w:sz w:val="22"/>
          <w:szCs w:val="22"/>
        </w:rPr>
        <w:lastRenderedPageBreak/>
        <w:tab/>
      </w:r>
      <w:r>
        <w:rPr>
          <w:rFonts w:ascii="Arial" w:hAnsi="Arial" w:cs="Arial"/>
          <w:b/>
          <w:bCs/>
          <w:sz w:val="22"/>
          <w:szCs w:val="22"/>
        </w:rPr>
        <w:t xml:space="preserve">Recomenda-se que as penalidades pelo descumprimento das medidas indicadas no Anteprojeto de Lei, estejam contidas no próprio texto legal a ser apreciado pela Câmara de Vereadores, ou que o texto da propositura faça, em algum artigo de Lei, remissão à legislação que, porventura, exista previamente já indicando a aplicação de medidas infracionais, no arcabouço legal da municipalidade. </w:t>
      </w:r>
    </w:p>
    <w:p w14:paraId="2DDA1BD8" w14:textId="77777777" w:rsidR="00197A56" w:rsidRDefault="00000000">
      <w:pPr>
        <w:spacing w:line="276" w:lineRule="auto"/>
        <w:jc w:val="both"/>
        <w:rPr>
          <w:rFonts w:ascii="Arial" w:hAnsi="Arial"/>
          <w:sz w:val="22"/>
          <w:szCs w:val="22"/>
        </w:rPr>
      </w:pPr>
      <w:r>
        <w:rPr>
          <w:rFonts w:ascii="Arial" w:hAnsi="Arial" w:cs="Arial"/>
          <w:sz w:val="22"/>
          <w:szCs w:val="22"/>
        </w:rPr>
        <w:tab/>
        <w:t xml:space="preserve">Todavia, se criadas as penalidades no texto legal (o que se diga, é o correto), reforçará o vício de iniciativa, pela mesma motivação defendida alhures. </w:t>
      </w:r>
    </w:p>
    <w:p w14:paraId="236B086F" w14:textId="77777777" w:rsidR="00197A56" w:rsidRDefault="00197A56">
      <w:pPr>
        <w:spacing w:line="276" w:lineRule="auto"/>
        <w:jc w:val="both"/>
        <w:rPr>
          <w:rFonts w:ascii="Arial" w:hAnsi="Arial" w:cs="Arial"/>
          <w:sz w:val="22"/>
          <w:szCs w:val="22"/>
        </w:rPr>
      </w:pPr>
    </w:p>
    <w:p w14:paraId="1E53D143" w14:textId="2D8B3D01" w:rsidR="00197A56" w:rsidRPr="00606573" w:rsidRDefault="00000000" w:rsidP="00606573">
      <w:pPr>
        <w:spacing w:line="276" w:lineRule="auto"/>
        <w:jc w:val="center"/>
        <w:rPr>
          <w:rFonts w:ascii="Arial" w:hAnsi="Arial"/>
          <w:sz w:val="22"/>
          <w:szCs w:val="22"/>
        </w:rPr>
      </w:pPr>
      <w:r>
        <w:rPr>
          <w:rFonts w:ascii="Arial" w:hAnsi="Arial" w:cs="Arial"/>
          <w:b/>
          <w:bCs/>
          <w:sz w:val="22"/>
          <w:szCs w:val="22"/>
        </w:rPr>
        <w:t xml:space="preserve">V - Dos aspectos Orçamentários e Fiscais. </w:t>
      </w:r>
    </w:p>
    <w:p w14:paraId="108FCB30" w14:textId="77777777" w:rsidR="00197A56" w:rsidRDefault="00000000">
      <w:pPr>
        <w:spacing w:line="276" w:lineRule="auto"/>
        <w:jc w:val="both"/>
        <w:rPr>
          <w:rFonts w:ascii="Arial" w:hAnsi="Arial"/>
          <w:sz w:val="22"/>
          <w:szCs w:val="22"/>
        </w:rPr>
      </w:pPr>
      <w:r>
        <w:rPr>
          <w:rFonts w:ascii="Arial" w:hAnsi="Arial" w:cs="Arial"/>
          <w:b/>
          <w:bCs/>
          <w:sz w:val="22"/>
          <w:szCs w:val="22"/>
        </w:rPr>
        <w:tab/>
      </w:r>
      <w:r>
        <w:rPr>
          <w:rFonts w:ascii="Arial" w:hAnsi="Arial" w:cs="Arial"/>
          <w:sz w:val="22"/>
          <w:szCs w:val="22"/>
        </w:rPr>
        <w:t xml:space="preserve">A Lei de Responsabilidade Fiscal – LC º 101/2000 exige que Projetos de Lei, como o ora analisado, que criam despesas obrigatórias de caráter continuado, estejam instruídos com a estimativa de impacto orçamentário e financeiro, sob pena de nulidade, conforme o art. 21, I, “a”, da norma. </w:t>
      </w:r>
    </w:p>
    <w:p w14:paraId="7772ADBA" w14:textId="77777777" w:rsidR="00197A56" w:rsidRDefault="00000000">
      <w:pPr>
        <w:spacing w:line="276" w:lineRule="auto"/>
        <w:jc w:val="both"/>
        <w:rPr>
          <w:rFonts w:ascii="Arial" w:hAnsi="Arial"/>
          <w:sz w:val="22"/>
          <w:szCs w:val="22"/>
        </w:rPr>
      </w:pPr>
      <w:r>
        <w:rPr>
          <w:rFonts w:ascii="Arial" w:hAnsi="Arial" w:cs="Arial"/>
          <w:sz w:val="22"/>
          <w:szCs w:val="22"/>
        </w:rPr>
        <w:tab/>
        <w:t>Tais requisitos supra não estão contidos no Anteprojeto de Lei analisado, o que faz surgir a necessidade de</w:t>
      </w:r>
      <w:r>
        <w:rPr>
          <w:rFonts w:ascii="Arial" w:hAnsi="Arial" w:cs="Arial"/>
          <w:b/>
          <w:bCs/>
          <w:sz w:val="22"/>
          <w:szCs w:val="22"/>
        </w:rPr>
        <w:t xml:space="preserve"> inclusão de cláusula de dotação e, consequentemente, obrigação de existência de suporte,</w:t>
      </w:r>
      <w:r>
        <w:rPr>
          <w:rFonts w:ascii="Arial" w:hAnsi="Arial" w:cs="Arial"/>
          <w:sz w:val="22"/>
          <w:szCs w:val="22"/>
        </w:rPr>
        <w:t xml:space="preserve"> em nossa avaliação, na Lei de Diretrizes Orçamentárias para o exercício. </w:t>
      </w:r>
    </w:p>
    <w:p w14:paraId="057FA8BE" w14:textId="77777777" w:rsidR="00197A56" w:rsidRDefault="00197A56">
      <w:pPr>
        <w:spacing w:line="276" w:lineRule="auto"/>
        <w:ind w:firstLine="708"/>
        <w:jc w:val="both"/>
        <w:rPr>
          <w:rFonts w:ascii="Arial" w:hAnsi="Arial" w:cs="Arial"/>
          <w:sz w:val="22"/>
          <w:szCs w:val="22"/>
        </w:rPr>
      </w:pPr>
    </w:p>
    <w:p w14:paraId="7D67299A" w14:textId="51B024DB" w:rsidR="00197A56" w:rsidRPr="00606573" w:rsidRDefault="00000000" w:rsidP="00606573">
      <w:pPr>
        <w:jc w:val="center"/>
        <w:rPr>
          <w:rFonts w:ascii="Arial" w:hAnsi="Arial"/>
          <w:sz w:val="22"/>
          <w:szCs w:val="22"/>
        </w:rPr>
      </w:pPr>
      <w:r>
        <w:rPr>
          <w:rFonts w:ascii="Arial" w:hAnsi="Arial" w:cs="Arial"/>
          <w:b/>
          <w:sz w:val="22"/>
          <w:szCs w:val="22"/>
        </w:rPr>
        <w:t>CONCLUSÃO</w:t>
      </w:r>
    </w:p>
    <w:p w14:paraId="79B3E5F6" w14:textId="77777777" w:rsidR="00197A56" w:rsidRDefault="00000000">
      <w:pPr>
        <w:jc w:val="both"/>
        <w:rPr>
          <w:rFonts w:ascii="Arial" w:hAnsi="Arial"/>
          <w:sz w:val="22"/>
          <w:szCs w:val="22"/>
        </w:rPr>
      </w:pPr>
      <w:r>
        <w:rPr>
          <w:rFonts w:ascii="Arial" w:hAnsi="Arial"/>
          <w:sz w:val="22"/>
          <w:szCs w:val="22"/>
        </w:rPr>
        <w:tab/>
        <w:t xml:space="preserve">Diante do exposto, entendemos pela inviabilidade da proposição na forma apresentada, eis que, sendo de iniciativa parlamentar, quando dispõe sobre ações a serem executadas e fiscalizadas por organismos vinculados ao Poder Executivo, contraria o art. 60, inciso II, alínea “d”, da Constituição do Estado do Rio Grande do Sul. </w:t>
      </w:r>
    </w:p>
    <w:p w14:paraId="058A19AA" w14:textId="77777777" w:rsidR="00197A56" w:rsidRDefault="00000000">
      <w:pPr>
        <w:jc w:val="both"/>
        <w:rPr>
          <w:rFonts w:ascii="Arial" w:hAnsi="Arial"/>
          <w:sz w:val="22"/>
          <w:szCs w:val="22"/>
        </w:rPr>
      </w:pPr>
      <w:r>
        <w:rPr>
          <w:rFonts w:ascii="Arial" w:hAnsi="Arial"/>
          <w:sz w:val="22"/>
          <w:szCs w:val="22"/>
        </w:rPr>
        <w:tab/>
      </w:r>
      <w:r>
        <w:rPr>
          <w:rFonts w:ascii="Arial" w:hAnsi="Arial" w:cs="Arial"/>
          <w:sz w:val="22"/>
          <w:szCs w:val="22"/>
        </w:rPr>
        <w:t xml:space="preserve">Sendo assim os membros desta Comissão, após analisarem amplamente o referido Projeto, exaram parecer para que a materia seja proposta </w:t>
      </w:r>
      <w:r>
        <w:rPr>
          <w:rFonts w:ascii="Arial" w:hAnsi="Arial"/>
          <w:sz w:val="22"/>
          <w:szCs w:val="22"/>
        </w:rPr>
        <w:t xml:space="preserve">ao  ao Poder Executivo, na forma de indicação, nos termos do art. 108 do Regimento Interno, após efetivação dos trâmites legais, caso não havendo indicações a respeito do tema o mesmo deverá ser arquivado. </w:t>
      </w:r>
    </w:p>
    <w:p w14:paraId="1E0735A6" w14:textId="77777777" w:rsidR="00197A56" w:rsidRDefault="00197A56">
      <w:pPr>
        <w:jc w:val="center"/>
        <w:rPr>
          <w:rFonts w:ascii="Arial" w:hAnsi="Arial" w:cs="Arial"/>
          <w:b/>
          <w:sz w:val="22"/>
          <w:szCs w:val="22"/>
        </w:rPr>
      </w:pPr>
    </w:p>
    <w:p w14:paraId="15A1DF33" w14:textId="77777777" w:rsidR="00197A56" w:rsidRDefault="00000000">
      <w:pPr>
        <w:jc w:val="both"/>
        <w:rPr>
          <w:rFonts w:ascii="Arial" w:hAnsi="Arial"/>
          <w:sz w:val="22"/>
          <w:szCs w:val="22"/>
        </w:rPr>
      </w:pPr>
      <w:r>
        <w:rPr>
          <w:rFonts w:ascii="Arial" w:hAnsi="Arial" w:cs="Arial"/>
          <w:sz w:val="22"/>
          <w:szCs w:val="22"/>
        </w:rPr>
        <w:t xml:space="preserve"> </w:t>
      </w:r>
    </w:p>
    <w:p w14:paraId="7DFC5C59" w14:textId="77777777" w:rsidR="00197A56" w:rsidRDefault="00197A56">
      <w:pPr>
        <w:ind w:firstLine="708"/>
        <w:jc w:val="both"/>
        <w:rPr>
          <w:rFonts w:ascii="Arial" w:hAnsi="Arial" w:cs="Arial"/>
          <w:sz w:val="22"/>
          <w:szCs w:val="22"/>
        </w:rPr>
      </w:pPr>
    </w:p>
    <w:p w14:paraId="556FC4B5" w14:textId="77777777" w:rsidR="00197A56" w:rsidRDefault="00000000">
      <w:pPr>
        <w:ind w:firstLine="708"/>
        <w:jc w:val="both"/>
        <w:rPr>
          <w:rFonts w:ascii="Arial" w:hAnsi="Arial"/>
          <w:sz w:val="22"/>
          <w:szCs w:val="22"/>
        </w:rPr>
      </w:pPr>
      <w:r>
        <w:rPr>
          <w:rFonts w:ascii="Arial" w:hAnsi="Arial" w:cs="Arial"/>
          <w:sz w:val="22"/>
          <w:szCs w:val="22"/>
        </w:rPr>
        <w:t xml:space="preserve">Sala de Reuniões da Câmara Municipal de Lagoa Bonita do Sul, dia 14 de janeiro de 2025. </w:t>
      </w:r>
    </w:p>
    <w:p w14:paraId="3BDA2FB1" w14:textId="77777777" w:rsidR="00197A56" w:rsidRDefault="00197A56">
      <w:pPr>
        <w:ind w:firstLine="708"/>
        <w:jc w:val="both"/>
        <w:rPr>
          <w:rFonts w:ascii="Arial" w:hAnsi="Arial" w:cs="Arial"/>
          <w:sz w:val="22"/>
          <w:szCs w:val="22"/>
        </w:rPr>
      </w:pPr>
    </w:p>
    <w:p w14:paraId="3C646E45" w14:textId="77777777" w:rsidR="00197A56" w:rsidRDefault="00197A56">
      <w:pPr>
        <w:ind w:firstLine="708"/>
        <w:jc w:val="both"/>
        <w:rPr>
          <w:rFonts w:ascii="Arial" w:hAnsi="Arial" w:cs="Arial"/>
          <w:sz w:val="22"/>
          <w:szCs w:val="22"/>
        </w:rPr>
      </w:pPr>
    </w:p>
    <w:p w14:paraId="73E72627" w14:textId="77777777" w:rsidR="00197A56" w:rsidRDefault="00197A56">
      <w:pPr>
        <w:ind w:firstLine="708"/>
        <w:jc w:val="both"/>
        <w:rPr>
          <w:rFonts w:ascii="Arial" w:hAnsi="Arial" w:cs="Arial"/>
          <w:sz w:val="22"/>
          <w:szCs w:val="22"/>
        </w:rPr>
      </w:pPr>
    </w:p>
    <w:p w14:paraId="05AFA540" w14:textId="77777777" w:rsidR="00197A56" w:rsidRDefault="00000000">
      <w:pPr>
        <w:spacing w:line="276" w:lineRule="auto"/>
        <w:jc w:val="center"/>
        <w:rPr>
          <w:rFonts w:ascii="Arial" w:hAnsi="Arial"/>
          <w:sz w:val="22"/>
          <w:szCs w:val="22"/>
        </w:rPr>
      </w:pPr>
      <w:r>
        <w:rPr>
          <w:rFonts w:ascii="Arial" w:hAnsi="Arial" w:cs="Arial"/>
          <w:sz w:val="22"/>
          <w:szCs w:val="22"/>
        </w:rPr>
        <w:t>____________________________________________</w:t>
      </w:r>
    </w:p>
    <w:p w14:paraId="3E633E20" w14:textId="77777777" w:rsidR="00197A56" w:rsidRDefault="00000000">
      <w:pPr>
        <w:spacing w:line="276" w:lineRule="auto"/>
        <w:jc w:val="center"/>
        <w:rPr>
          <w:rFonts w:ascii="Arial" w:hAnsi="Arial"/>
          <w:sz w:val="22"/>
          <w:szCs w:val="22"/>
        </w:rPr>
      </w:pPr>
      <w:r>
        <w:rPr>
          <w:rFonts w:ascii="Arial" w:hAnsi="Arial" w:cs="Arial"/>
          <w:b/>
          <w:bCs/>
          <w:sz w:val="22"/>
          <w:szCs w:val="22"/>
        </w:rPr>
        <w:t>CARLOS ALEXANDRE LYRA -  PL</w:t>
      </w:r>
    </w:p>
    <w:p w14:paraId="00531C1C" w14:textId="77777777" w:rsidR="00197A56" w:rsidRDefault="00000000">
      <w:pPr>
        <w:spacing w:line="276" w:lineRule="auto"/>
        <w:jc w:val="center"/>
        <w:rPr>
          <w:rFonts w:ascii="Arial" w:hAnsi="Arial"/>
          <w:sz w:val="22"/>
          <w:szCs w:val="22"/>
        </w:rPr>
      </w:pPr>
      <w:r>
        <w:rPr>
          <w:rFonts w:ascii="Arial" w:hAnsi="Arial" w:cs="Arial"/>
          <w:sz w:val="22"/>
          <w:szCs w:val="22"/>
        </w:rPr>
        <w:t>Presidente da Comissão de Constituição,</w:t>
      </w:r>
    </w:p>
    <w:p w14:paraId="0F6A006B" w14:textId="77777777" w:rsidR="00197A56" w:rsidRDefault="00000000">
      <w:pPr>
        <w:spacing w:line="276" w:lineRule="auto"/>
        <w:jc w:val="center"/>
        <w:rPr>
          <w:rFonts w:ascii="Arial" w:hAnsi="Arial"/>
          <w:sz w:val="22"/>
          <w:szCs w:val="22"/>
        </w:rPr>
      </w:pPr>
      <w:r>
        <w:rPr>
          <w:rFonts w:ascii="Arial" w:hAnsi="Arial" w:cs="Arial"/>
          <w:sz w:val="22"/>
          <w:szCs w:val="22"/>
        </w:rPr>
        <w:t>Justiça e Redação final</w:t>
      </w:r>
    </w:p>
    <w:p w14:paraId="709EBCB8" w14:textId="77777777" w:rsidR="00197A56" w:rsidRDefault="00197A56">
      <w:pPr>
        <w:spacing w:line="276" w:lineRule="auto"/>
        <w:rPr>
          <w:rFonts w:ascii="Arial" w:hAnsi="Arial" w:cs="Arial"/>
          <w:sz w:val="22"/>
          <w:szCs w:val="22"/>
        </w:rPr>
      </w:pPr>
    </w:p>
    <w:p w14:paraId="14BAE1BA" w14:textId="77777777" w:rsidR="00197A56" w:rsidRDefault="00197A56">
      <w:pPr>
        <w:spacing w:line="276" w:lineRule="auto"/>
        <w:rPr>
          <w:rFonts w:ascii="Arial" w:hAnsi="Arial" w:cs="Arial"/>
          <w:sz w:val="22"/>
          <w:szCs w:val="22"/>
        </w:rPr>
      </w:pPr>
    </w:p>
    <w:p w14:paraId="6072646D" w14:textId="77777777" w:rsidR="00197A56" w:rsidRDefault="00000000">
      <w:pPr>
        <w:spacing w:line="276" w:lineRule="auto"/>
        <w:rPr>
          <w:rFonts w:ascii="Arial" w:hAnsi="Arial"/>
          <w:sz w:val="22"/>
          <w:szCs w:val="22"/>
        </w:rPr>
      </w:pPr>
      <w:r>
        <w:rPr>
          <w:rFonts w:ascii="Arial" w:hAnsi="Arial" w:cs="Arial"/>
          <w:sz w:val="22"/>
          <w:szCs w:val="22"/>
        </w:rPr>
        <w:t xml:space="preserve">                                                   _______________________________                    </w:t>
      </w:r>
    </w:p>
    <w:p w14:paraId="1F838ADB" w14:textId="77777777" w:rsidR="00197A56" w:rsidRDefault="00000000">
      <w:pPr>
        <w:spacing w:line="276" w:lineRule="auto"/>
        <w:jc w:val="center"/>
        <w:rPr>
          <w:rFonts w:ascii="Arial" w:hAnsi="Arial"/>
          <w:sz w:val="22"/>
          <w:szCs w:val="22"/>
        </w:rPr>
      </w:pPr>
      <w:r>
        <w:rPr>
          <w:rFonts w:ascii="Arial" w:hAnsi="Arial" w:cs="Arial"/>
          <w:b/>
          <w:bCs/>
          <w:sz w:val="22"/>
          <w:szCs w:val="22"/>
        </w:rPr>
        <w:t>EZEQUIEL TAVARES - PSB</w:t>
      </w:r>
    </w:p>
    <w:p w14:paraId="1472C48F" w14:textId="77777777" w:rsidR="00197A56" w:rsidRDefault="00000000">
      <w:pPr>
        <w:spacing w:line="276" w:lineRule="auto"/>
        <w:jc w:val="center"/>
        <w:rPr>
          <w:rFonts w:ascii="Arial" w:hAnsi="Arial"/>
          <w:sz w:val="22"/>
          <w:szCs w:val="22"/>
        </w:rPr>
      </w:pPr>
      <w:r>
        <w:rPr>
          <w:rFonts w:ascii="Arial" w:hAnsi="Arial" w:cs="Arial"/>
          <w:sz w:val="22"/>
          <w:szCs w:val="22"/>
        </w:rPr>
        <w:t>Vice-Presidente</w:t>
      </w:r>
    </w:p>
    <w:p w14:paraId="11EB62FD" w14:textId="77777777" w:rsidR="00197A56" w:rsidRDefault="00197A56">
      <w:pPr>
        <w:spacing w:line="276" w:lineRule="auto"/>
        <w:rPr>
          <w:rFonts w:ascii="Arial" w:hAnsi="Arial" w:cs="Arial"/>
          <w:sz w:val="22"/>
          <w:szCs w:val="22"/>
        </w:rPr>
      </w:pPr>
    </w:p>
    <w:p w14:paraId="0E4150DD" w14:textId="77777777" w:rsidR="00197A56" w:rsidRDefault="00197A56">
      <w:pPr>
        <w:spacing w:line="276" w:lineRule="auto"/>
        <w:rPr>
          <w:rFonts w:ascii="Arial" w:hAnsi="Arial" w:cs="Arial"/>
          <w:sz w:val="22"/>
          <w:szCs w:val="22"/>
        </w:rPr>
      </w:pPr>
    </w:p>
    <w:p w14:paraId="7AC7F6AA" w14:textId="77777777" w:rsidR="00197A56" w:rsidRDefault="00000000">
      <w:pPr>
        <w:spacing w:line="276" w:lineRule="auto"/>
        <w:jc w:val="center"/>
        <w:rPr>
          <w:rFonts w:ascii="Arial" w:hAnsi="Arial"/>
          <w:sz w:val="22"/>
          <w:szCs w:val="22"/>
        </w:rPr>
      </w:pPr>
      <w:r>
        <w:rPr>
          <w:rFonts w:ascii="Arial" w:hAnsi="Arial" w:cs="Arial"/>
          <w:sz w:val="22"/>
          <w:szCs w:val="22"/>
        </w:rPr>
        <w:t>_____________________________</w:t>
      </w:r>
    </w:p>
    <w:p w14:paraId="644EC36E" w14:textId="77777777" w:rsidR="00197A56" w:rsidRDefault="00000000">
      <w:pPr>
        <w:spacing w:line="276" w:lineRule="auto"/>
        <w:jc w:val="center"/>
        <w:rPr>
          <w:rFonts w:ascii="Arial" w:hAnsi="Arial"/>
          <w:sz w:val="22"/>
          <w:szCs w:val="22"/>
        </w:rPr>
      </w:pPr>
      <w:r>
        <w:rPr>
          <w:rFonts w:ascii="Arial" w:hAnsi="Arial" w:cs="Arial"/>
          <w:b/>
          <w:bCs/>
          <w:sz w:val="22"/>
          <w:szCs w:val="22"/>
        </w:rPr>
        <w:t>OLAVO DA ROSA - PT</w:t>
      </w:r>
    </w:p>
    <w:p w14:paraId="3CAC2D8D" w14:textId="77777777" w:rsidR="00197A56" w:rsidRDefault="00000000">
      <w:pPr>
        <w:spacing w:line="276" w:lineRule="auto"/>
        <w:jc w:val="center"/>
        <w:rPr>
          <w:rFonts w:ascii="Arial" w:hAnsi="Arial"/>
          <w:sz w:val="22"/>
          <w:szCs w:val="22"/>
        </w:rPr>
      </w:pPr>
      <w:r>
        <w:rPr>
          <w:rFonts w:ascii="Arial" w:hAnsi="Arial" w:cs="Arial"/>
          <w:b/>
          <w:sz w:val="22"/>
          <w:szCs w:val="22"/>
        </w:rPr>
        <w:t>Membro</w:t>
      </w:r>
    </w:p>
    <w:sectPr w:rsidR="00197A56">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4" w:left="1560"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5402" w14:textId="77777777" w:rsidR="001D214D" w:rsidRDefault="001D214D">
      <w:r>
        <w:separator/>
      </w:r>
    </w:p>
  </w:endnote>
  <w:endnote w:type="continuationSeparator" w:id="0">
    <w:p w14:paraId="33E11335" w14:textId="77777777" w:rsidR="001D214D" w:rsidRDefault="001D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B882" w14:textId="77777777" w:rsidR="00197A56" w:rsidRDefault="00000000">
    <w:pPr>
      <w:pStyle w:val="Rodap"/>
      <w:ind w:right="360"/>
    </w:pPr>
    <w:r>
      <w:rPr>
        <w:noProof/>
      </w:rPr>
      <mc:AlternateContent>
        <mc:Choice Requires="wps">
          <w:drawing>
            <wp:anchor distT="0" distB="0" distL="0" distR="0" simplePos="0" relativeHeight="2" behindDoc="1" locked="0" layoutInCell="0" allowOverlap="1" wp14:anchorId="77096BD0" wp14:editId="3F7A0752">
              <wp:simplePos x="0" y="0"/>
              <wp:positionH relativeFrom="margin">
                <wp:align>right</wp:align>
              </wp:positionH>
              <wp:positionV relativeFrom="paragraph">
                <wp:posOffset>635</wp:posOffset>
              </wp:positionV>
              <wp:extent cx="14605" cy="14605"/>
              <wp:effectExtent l="0" t="0" r="0" b="0"/>
              <wp:wrapSquare wrapText="bothSides"/>
              <wp:docPr id="3" name="Retângulo 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21491FE" w14:textId="77777777" w:rsidR="00197A56" w:rsidRDefault="00000000">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77096BD0" id="Retângulo 2" o:spid="_x0000_s1027"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521491FE" w14:textId="77777777" w:rsidR="00197A56" w:rsidRDefault="00000000">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AE76" w14:textId="77777777" w:rsidR="00197A56" w:rsidRDefault="00197A56">
    <w:pPr>
      <w:pStyle w:val="Rodap"/>
      <w:ind w:right="-32"/>
      <w:jc w:val="center"/>
      <w:rPr>
        <w:rFonts w:ascii="Cambria" w:hAnsi="Cambr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C80C" w14:textId="77777777" w:rsidR="00197A56" w:rsidRDefault="00197A56">
    <w:pPr>
      <w:pStyle w:val="Rodap"/>
      <w:ind w:right="-32"/>
      <w:jc w:val="center"/>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5D43" w14:textId="77777777" w:rsidR="001D214D" w:rsidRDefault="001D214D">
      <w:r>
        <w:separator/>
      </w:r>
    </w:p>
  </w:footnote>
  <w:footnote w:type="continuationSeparator" w:id="0">
    <w:p w14:paraId="769BA106" w14:textId="77777777" w:rsidR="001D214D" w:rsidRDefault="001D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A946" w14:textId="77777777" w:rsidR="00197A56" w:rsidRDefault="00000000">
    <w:pPr>
      <w:pStyle w:val="Cabealho"/>
      <w:ind w:right="360"/>
    </w:pPr>
    <w:r>
      <w:rPr>
        <w:noProof/>
      </w:rPr>
      <mc:AlternateContent>
        <mc:Choice Requires="wps">
          <w:drawing>
            <wp:anchor distT="0" distB="0" distL="0" distR="0" simplePos="0" relativeHeight="3" behindDoc="1" locked="0" layoutInCell="0" allowOverlap="1" wp14:anchorId="4D60C740" wp14:editId="14C8D112">
              <wp:simplePos x="0" y="0"/>
              <wp:positionH relativeFrom="margin">
                <wp:align>right</wp:align>
              </wp:positionH>
              <wp:positionV relativeFrom="paragraph">
                <wp:posOffset>635</wp:posOffset>
              </wp:positionV>
              <wp:extent cx="14605" cy="14605"/>
              <wp:effectExtent l="0" t="0" r="0" b="0"/>
              <wp:wrapSquare wrapText="bothSides"/>
              <wp:docPr id="1" name="Retângulo 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477798E6" w14:textId="77777777" w:rsidR="00197A56" w:rsidRDefault="00000000">
                          <w:pPr>
                            <w:pStyle w:val="Cabealho"/>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4D60C740" id="Retângulo 1" o:spid="_x0000_s1026" style="position:absolute;margin-left:-50.05pt;margin-top:.05pt;width:1.15pt;height:1.15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477798E6" w14:textId="77777777" w:rsidR="00197A56" w:rsidRDefault="00000000">
                    <w:pPr>
                      <w:pStyle w:val="Cabealho"/>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018F" w14:textId="77777777" w:rsidR="00197A56" w:rsidRDefault="00197A56">
    <w:pPr>
      <w:pStyle w:val="Cabealho"/>
      <w:ind w:right="-32"/>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ADBD" w14:textId="77777777" w:rsidR="00197A56" w:rsidRDefault="00197A56">
    <w:pPr>
      <w:pStyle w:val="Cabealho"/>
      <w:ind w:right="-32"/>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C23"/>
    <w:multiLevelType w:val="multilevel"/>
    <w:tmpl w:val="831AE5BA"/>
    <w:lvl w:ilvl="0">
      <w:start w:val="1"/>
      <w:numFmt w:val="upperRoman"/>
      <w:lvlText w:val="%1-"/>
      <w:lvlJc w:val="left"/>
      <w:pPr>
        <w:tabs>
          <w:tab w:val="num" w:pos="0"/>
        </w:tabs>
        <w:ind w:left="1428" w:hanging="72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2A90764"/>
    <w:multiLevelType w:val="multilevel"/>
    <w:tmpl w:val="5AFAA8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2901317">
    <w:abstractNumId w:val="0"/>
  </w:num>
  <w:num w:numId="2" w16cid:durableId="85931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56"/>
    <w:rsid w:val="00197A56"/>
    <w:rsid w:val="001D214D"/>
    <w:rsid w:val="0060657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190B"/>
  <w15:docId w15:val="{890ADA23-F07E-4A88-ADDB-710D2485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pPr>
      <w:keepNext/>
      <w:jc w:val="both"/>
      <w:outlineLvl w:val="0"/>
    </w:pPr>
    <w:rPr>
      <w:rFonts w:ascii="Arial Narrow" w:hAnsi="Arial Narrow"/>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Pr>
      <w:rFonts w:ascii="Arial Narrow" w:eastAsia="Times New Roman" w:hAnsi="Arial Narrow" w:cs="Times New Roman"/>
      <w:b/>
      <w:sz w:val="28"/>
      <w:szCs w:val="20"/>
      <w:lang w:eastAsia="pt-BR"/>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lang w:eastAsia="pt-BR"/>
    </w:rPr>
  </w:style>
  <w:style w:type="character" w:styleId="Nmerodepgina">
    <w:name w:val="page number"/>
    <w:basedOn w:val="Fontepargpadro"/>
    <w:qFormat/>
  </w:style>
  <w:style w:type="character" w:customStyle="1" w:styleId="RodapChar">
    <w:name w:val="Rodapé Char"/>
    <w:basedOn w:val="Fontepargpadro"/>
    <w:link w:val="Rodap"/>
    <w:qFormat/>
    <w:rPr>
      <w:rFonts w:ascii="Times New Roman" w:eastAsia="Times New Roman" w:hAnsi="Times New Roman" w:cs="Times New Roman"/>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lang/>
    </w:rPr>
  </w:style>
  <w:style w:type="paragraph" w:customStyle="1" w:styleId="CabealhoeRodap">
    <w:name w:val="Cabeçalho e Rodapé"/>
    <w:basedOn w:val="Normal"/>
    <w:qFormat/>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pPr>
      <w:tabs>
        <w:tab w:val="center" w:pos="4252"/>
        <w:tab w:val="right" w:pos="8504"/>
      </w:tabs>
    </w:p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C8E8-9277-45D6-A7BE-26483ACD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2515</Words>
  <Characters>13584</Characters>
  <Application>Microsoft Office Word</Application>
  <DocSecurity>0</DocSecurity>
  <Lines>113</Lines>
  <Paragraphs>32</Paragraphs>
  <ScaleCrop>false</ScaleCrop>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camara01</dc:creator>
  <dc:description/>
  <cp:lastModifiedBy>Câmara de Vereadores Lagoa Bonita do Sul</cp:lastModifiedBy>
  <cp:revision>13</cp:revision>
  <cp:lastPrinted>2024-05-28T13:34:00Z</cp:lastPrinted>
  <dcterms:created xsi:type="dcterms:W3CDTF">2024-05-27T23:22:00Z</dcterms:created>
  <dcterms:modified xsi:type="dcterms:W3CDTF">2025-01-28T17:14:00Z</dcterms:modified>
  <dc:language>pt-BR</dc:language>
</cp:coreProperties>
</file>