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006/2024 do Poder Legislativo, </w:t>
      </w:r>
      <w:r>
        <w:rPr>
          <w:rFonts w:ascii="Arial" w:hAnsi="Arial" w:cs="Arial"/>
          <w:bCs/>
          <w:sz w:val="22"/>
          <w:szCs w:val="22"/>
        </w:rPr>
        <w:t xml:space="preserve">Dispõe sobre a fixação do subsídio dos Secretários Municipais a partir de 1º de janeiro de 2025. </w:t>
      </w:r>
    </w:p>
    <w:p>
      <w:pPr>
        <w:jc w:val="both"/>
        <w:rPr>
          <w:rFonts w:ascii="Arial" w:hAnsi="Arial" w:cs="Arial"/>
          <w:i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>
      <w:pPr>
        <w:pStyle w:val="PargrafodaLista"/>
        <w:numPr>
          <w:ilvl w:val="0"/>
          <w:numId w:val="1"/>
        </w:numPr>
        <w:spacing w:line="276" w:lineRule="auto"/>
        <w:ind w:left="426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RELATÓRIO</w:t>
      </w:r>
    </w:p>
    <w:p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>
      <w:pPr>
        <w:ind w:left="282" w:firstLine="426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ind w:left="282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presente Projeto de Lei, trata-se de proposta da Mesa Diretora da Câmara Municipal de Lagoa Bonita do Sul/RS, no exercício de competência privativa que lhe é atribuída por meio do art. 30, inc. IV, do Regimento desta Casa, para a fixação dos subsídios mensais dos Secretário Municipais de Lagoa Bonita do Sul a partir de 1º de janeiro de 2025.</w:t>
      </w:r>
    </w:p>
    <w:p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>
      <w:pPr>
        <w:pStyle w:val="PargrafodaLista"/>
        <w:spacing w:line="360" w:lineRule="auto"/>
        <w:ind w:left="1570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É de competência da Mesa Diretora da Câmara Municipal, no exercício de competência privativa que lhe é atribuída por meio do art. 30, inc. IV, do Regimento desta Casa, a fixação dos subsídios mensais dos Secretários Municipais, tendo em vista atribuição institucional exclusiva do Legislativo, consoante dispõem o art. 29, inc. V, da Constituição Federal:</w:t>
      </w: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29. O Município reger-se-á por lei orgânica, votada em dois turnos, com o interstício mínimo de dez dias, e aprovada por dois terços dos membros da Câmara Municipal, que a promulgará, atendidos os princípios estabelecidos nesta Constituição, na Constituição do respectivo Estado e os seguintes preceitos:</w:t>
      </w:r>
    </w:p>
    <w:p>
      <w:pPr>
        <w:ind w:left="2835"/>
        <w:jc w:val="both"/>
      </w:pPr>
    </w:p>
    <w:p>
      <w:pPr>
        <w:pStyle w:val="PargrafodaLista"/>
        <w:ind w:left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- subsídios do Prefeito, do Vice-Prefeito e dos </w:t>
      </w:r>
      <w:r>
        <w:rPr>
          <w:rFonts w:ascii="Arial" w:hAnsi="Arial" w:cs="Arial"/>
          <w:b/>
          <w:sz w:val="20"/>
          <w:szCs w:val="20"/>
        </w:rPr>
        <w:t>Secretários Municipais</w:t>
      </w:r>
      <w:r>
        <w:rPr>
          <w:rFonts w:ascii="Arial" w:hAnsi="Arial" w:cs="Arial"/>
          <w:sz w:val="20"/>
          <w:szCs w:val="20"/>
        </w:rPr>
        <w:t xml:space="preserve"> fixados por lei de iniciativa da Câmara Municipal, observado o que dispõem os arts. 37, XI, 39, § 4o, 150, II, 153, III,</w:t>
      </w:r>
    </w:p>
    <w:p>
      <w:pPr>
        <w:pStyle w:val="PargrafodaLista"/>
        <w:ind w:left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153, § 2o, I;</w:t>
      </w:r>
    </w:p>
    <w:p>
      <w:pPr>
        <w:pStyle w:val="PargrafodaLista"/>
        <w:spacing w:line="360" w:lineRule="auto"/>
        <w:ind w:left="284" w:firstLine="425"/>
        <w:jc w:val="both"/>
        <w:rPr>
          <w:rFonts w:ascii="Arial" w:hAnsi="Arial" w:cs="Arial"/>
          <w:sz w:val="20"/>
          <w:szCs w:val="20"/>
        </w:rPr>
      </w:pPr>
    </w:p>
    <w:p>
      <w:pPr>
        <w:pStyle w:val="PargrafodaLista"/>
        <w:spacing w:line="360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>Em que pese a Constituição do Estado do Rio Grande do Sul, como visto, estabeleça que as remunerações dos mandatários eletivos municipais devam estar fixadas antes da realização das eleições, recomenda-se, por cautela, sobretudo no caso de majoração dos valores praticados na atual legislatura, que o processo de formação dessas leis (incluídas as de fixação dos subsídios dos Secretários Municipais), estejam invariavelmente concluídos antes dos últimos 180 (cento e oitenta) dias que antecedem o término do mandato, período que se inicia em 5 de julho de 2024.</w:t>
      </w:r>
    </w:p>
    <w:p>
      <w:pPr>
        <w:pStyle w:val="PargrafodaLista"/>
        <w:spacing w:line="360" w:lineRule="auto"/>
        <w:ind w:left="284"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  Essa recomendação está atrelada à discussão acerca da sujeição de tais leis ao disposto no art. 21, II, da Lei Complementar – LC nº 101/2002, segundo o qual é nulo de pleno direito, “o ato de que resulte aumento da despesa com pessoal nos 180 (cento e oitenta) dias anteriores ao final do mandato do titular de Poder ou órgão referido no art. 20”.</w:t>
      </w:r>
    </w:p>
    <w:p>
      <w:pPr>
        <w:pStyle w:val="PargrafodaLista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spacing w:line="360" w:lineRule="auto"/>
        <w:ind w:left="-142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Trata-se, este ponto, em especial com relação aos mandatários eletivos, de matéria potencialmente polêmica. De um lado há argumentos para defender a linha de que a fixação dos subsídios constitui ato originário e que, sendo assim, não se sujeita ao disposto no art. 21, II, da Lei Complementar – LC no 101/2000, mesmo no caso de majoração dos valores praticados na atual legislatura</w:t>
      </w:r>
      <w:r>
        <w:rPr>
          <w:rFonts w:ascii="Arial" w:hAnsi="Arial" w:cs="Arial"/>
          <w:sz w:val="20"/>
          <w:szCs w:val="20"/>
        </w:rPr>
        <w:t>.</w:t>
      </w:r>
    </w:p>
    <w:p>
      <w:pPr>
        <w:pStyle w:val="PargrafodaLista"/>
        <w:spacing w:line="360" w:lineRule="auto"/>
        <w:ind w:left="-142" w:firstLine="284"/>
        <w:jc w:val="both"/>
        <w:rPr>
          <w:rFonts w:ascii="Arial" w:hAnsi="Arial" w:cs="Arial"/>
          <w:sz w:val="20"/>
          <w:szCs w:val="20"/>
        </w:rPr>
      </w:pPr>
    </w:p>
    <w:p>
      <w:pPr>
        <w:pStyle w:val="PargrafodaLista"/>
        <w:spacing w:line="360" w:lineRule="auto"/>
        <w:ind w:left="-142" w:firstLine="284"/>
        <w:jc w:val="both"/>
        <w:rPr>
          <w:rFonts w:ascii="Arial" w:hAnsi="Arial" w:cs="Arial"/>
          <w:sz w:val="20"/>
          <w:szCs w:val="20"/>
        </w:rPr>
      </w:pPr>
    </w:p>
    <w:p>
      <w:pPr>
        <w:pStyle w:val="PargrafodaLista"/>
        <w:spacing w:line="360" w:lineRule="auto"/>
        <w:ind w:left="-142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 outro há fundamentos para entender que sim, a fixação dos subsídios se sujeita ao disposto no art. 21, II, da Lei Complementar – LC no 101/2000, dado que está em consonância tanto com os arts. 29, V e VI, 163, I3 e 169, caput, da Constituição Federal, especialmente considerando que a despesa respectiva se soma à despesa total com pessoal, conforme se extrai do caput do art. 18 da mesma Lei:</w:t>
      </w:r>
    </w:p>
    <w:p>
      <w:pPr>
        <w:pStyle w:val="PargrafodaLista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Art. 21. É nulo de pleno direito:</w:t>
      </w: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 o ato de que resulte aumento da despesa com pessoal nos 180 (cento e oitenta) dias anteriores ao final do mandato do titular de Poder ou órgão referido no art. 20;</w:t>
      </w: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Também é nulo de pleno direito o ato de que resulte aumento da despesa com pessoal expedido nos cento e oitenta dias anteriores ao final do mandato do titular do respectivo Poder ou órgão referido no art. 20.</w:t>
      </w: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Art. 163. Lei complementar disporá sobre:</w:t>
      </w: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- finanças públicas;</w:t>
      </w: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Art. 169. A despesa com pessoal ativo e inativo e pensionistas da União, dos Estados, do Distrito</w:t>
      </w: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Federal e dos Municípios não pode exceder os limites estabelecidos em lei complementar.</w:t>
      </w: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18. Para os efeitos desta Lei Complementar, entende-se como despesa total com pessoal: o somatório dos gastos do ente da </w:t>
      </w:r>
      <w:r>
        <w:rPr>
          <w:rFonts w:ascii="Arial" w:hAnsi="Arial" w:cs="Arial"/>
          <w:sz w:val="20"/>
          <w:szCs w:val="20"/>
        </w:rPr>
        <w:lastRenderedPageBreak/>
        <w:t>Federação com os ativos, os inativos e os pensionistas, relativos a mandatos eletivos, cargos, funções ou empregos, civis, militares e de membros de Poder, com quaisquer espécies remuneratórias, tais como vencimentos e vantagens, fixas e variáveis, subsídios, proventos da aposentadoria, reformas e pensões, inclusive adicionais, gratificações, horas extras e vantagens pessoais de qualquer natureza, bem como encargos sociais e contribuições recolhidas pelo ente às entidades de previdência.</w:t>
      </w:r>
    </w:p>
    <w:p>
      <w:pPr>
        <w:pStyle w:val="PargrafodaLista"/>
        <w:spacing w:line="360" w:lineRule="auto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 (grifamos)</w:t>
      </w: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De qualquer forma, como o desatendimento do disposto no art. 21, II, da Lei Complementar – LC no 101/2000 determina a nulidade de pleno direito do ato respectivo, fica amplamente justificada a recomendação de cautela pela observância daquele prazo, independentemente da tese prevalecente em relação ao tema. </w:t>
      </w:r>
    </w:p>
    <w:p>
      <w:pPr>
        <w:pStyle w:val="PargrafodaLista"/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Para ilustrar vale citar a posição exarada pelo Superior Tribunal de Justiça – STJ ao julgar, ainda em 2010 (quando a mesma regra constava do art. 21, Parágrafo único, da referida Lei), o Recurso Especial no 1.170.241/MS, do qual transcrevemos parte da ementa:</w:t>
      </w: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>
      <w:pPr>
        <w:pStyle w:val="PargrafodaLista"/>
        <w:spacing w:line="360" w:lineRule="auto"/>
        <w:ind w:left="2835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[...] “a LC n. 101/00 é expressa ao vedar a mera expedição, nos 180 dias anteriores ao final do mandato do titular do respectivo Poder, de ato que resulte o aumento de despesa com pessoal. 4. Nesse sentido, pouco importa se o resultado do ato somente virá na próxima gestão e, por isso mesmo, não procede o argumento de que o novo subsídio "só foi implantado no mandato subsequente, não no período vedado pela lei". Em verdade, entender o contrário resultaria em deixar à míngua de eficácia o art. 21, parágrafo único, da Lei de Responsabilidade Fiscal, pois se deixaria de evitar os riscos e de corrigir os desvios capazes de afetar o equilíbrio das contas públicas na próxima gestão. 5. E mais: tampouco interessa se o ato importa em aumento de verba paga a título de subsídio de agente político, já que a lei de responsabilidade fiscal não distingue a espécie de alteração no erário público, basta que, com a edição do ato normativo, haja exasperação do gasto público com o pessoal ativo e inativo do ente público. Em outros termos, a Lei de Responsabilidade Fiscal, em respeito ao artigo 163, incisos I, II, III e IV, e ao artigo 169 da Constituição Federal, visando uma gestão fiscal responsável, endereça-se indistintamente a todos os titulares de órgão ou poder, agentes políticos ou servidores públicos, conforme se infere do artigo 1o, § 1 e 2o da lei referida. STJ - REsp: 1170241 MS </w:t>
      </w:r>
      <w:r>
        <w:rPr>
          <w:rFonts w:ascii="Arial" w:hAnsi="Arial" w:cs="Arial"/>
          <w:sz w:val="20"/>
          <w:szCs w:val="20"/>
        </w:rPr>
        <w:lastRenderedPageBreak/>
        <w:t>2009/0239718-3, Relator:Ministro MAURO CAMPBELL MARQUES, Data de Julgamento: 02/12/2010, T2 - SEGUNDA TURMA, Data de Publicação: DJe 14/12/2010) (grifamos)</w:t>
      </w:r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Deve-se considerar ainda, o Regimento interno dessa casa, o qual prevê no art. 92 que:</w:t>
      </w:r>
    </w:p>
    <w:p>
      <w:pPr>
        <w:pStyle w:val="PargrafodaLista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>
      <w:pPr>
        <w:pStyle w:val="PargrafodaLista"/>
        <w:spacing w:line="360" w:lineRule="auto"/>
        <w:ind w:left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92. O valor a ser fixado para o subsídio do Prefeito, Vice - Prefeito, </w:t>
      </w:r>
      <w:r>
        <w:rPr>
          <w:rFonts w:ascii="Arial" w:hAnsi="Arial" w:cs="Arial"/>
          <w:b/>
          <w:sz w:val="20"/>
          <w:szCs w:val="20"/>
        </w:rPr>
        <w:t>Secretários Municipais</w:t>
      </w:r>
      <w:r>
        <w:rPr>
          <w:rFonts w:ascii="Arial" w:hAnsi="Arial" w:cs="Arial"/>
          <w:sz w:val="20"/>
          <w:szCs w:val="20"/>
        </w:rPr>
        <w:t xml:space="preserve"> e Vereadores serão propostos pela Câmara Municipal, respeitando a legislação em vigor.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spacing w:line="276" w:lineRule="auto"/>
        <w:ind w:left="142" w:firstLine="708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exposto, considerando que a proposição é de competência legifertante da Mesa Diretora da Câmara Municipal, atende as determinações legais e constitucionais vigentes, consubstanciadas principalmente no entendimento de que a fixação dos subsídios se sujeita ao disposto no art. 21, II, da Lei Complementar – LC no 101/2000, dado que está em consonância tanto com os arts. 29, V e VI, 163, I3 e 169, caput, da Constituição Federal, especialmente considerando que a despesa respectiva se soma à despesa total com pessoal,  razão pela qual entendemos pela viabilidade do Projeto de Lei Legislativo nº 006/2024.</w:t>
      </w:r>
    </w:p>
    <w:p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CONCLUSÃO</w:t>
      </w: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11 de junho de 2024.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</w:p>
    <w:p>
      <w:pPr>
        <w:spacing w:line="276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Membro</w:t>
      </w:r>
      <w:bookmarkStart w:id="0" w:name="_GoBack"/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E57BC"/>
    <w:multiLevelType w:val="hybridMultilevel"/>
    <w:tmpl w:val="6A4E911A"/>
    <w:lvl w:ilvl="0" w:tplc="1FB249F4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82F85-509B-4F22-9B54-B9E1C88C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2024-06-10T13:55:00Z</dcterms:created>
  <dcterms:modified xsi:type="dcterms:W3CDTF">2024-06-10T13:56:00Z</dcterms:modified>
</cp:coreProperties>
</file>