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A04" w:rsidRPr="0057323D" w:rsidRDefault="00F84A04" w:rsidP="00F84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:rsidR="00F84A04" w:rsidRPr="0057323D" w:rsidRDefault="00F84A04" w:rsidP="00F84A0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84A04" w:rsidRDefault="00F84A04" w:rsidP="00F84A04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>1)  Projetos de Lei do Poder Executivo:</w:t>
      </w:r>
    </w:p>
    <w:p w:rsidR="00F84A04" w:rsidRDefault="00F84A04" w:rsidP="00F84A0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84A04" w:rsidRDefault="00F84A04" w:rsidP="00F84A04">
      <w:pPr>
        <w:jc w:val="both"/>
        <w:rPr>
          <w:rFonts w:ascii="Arial" w:hAnsi="Arial" w:cs="Arial"/>
          <w:bCs/>
          <w:i/>
          <w:sz w:val="22"/>
          <w:szCs w:val="22"/>
        </w:rPr>
      </w:pPr>
      <w:bookmarkStart w:id="0" w:name="_Hlk98851892"/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1.791/2022</w:t>
      </w:r>
      <w:r w:rsidRPr="0057323D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Inclui AÇÃO no Plano Plurianual de 2022 – 2025, na Lei de Diretrizes Orçamentárias de 2022 e autoriza o Executivo Municipal abrir Crédito Especial na Lei Orçamentária Anual de 2022, no valor de R$ 50.000,00 (cinquenta mil reais).</w:t>
      </w:r>
    </w:p>
    <w:bookmarkEnd w:id="0"/>
    <w:p w:rsidR="00F84A04" w:rsidRPr="0010595A" w:rsidRDefault="00F84A04" w:rsidP="00F84A04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F84A04" w:rsidRPr="0057323D" w:rsidRDefault="00F84A04" w:rsidP="00F84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:rsidR="00F84A04" w:rsidRPr="00521728" w:rsidRDefault="00F84A04" w:rsidP="00F84A04">
      <w:pPr>
        <w:jc w:val="both"/>
        <w:rPr>
          <w:rFonts w:ascii="Arial" w:hAnsi="Arial" w:cs="Arial"/>
          <w:sz w:val="22"/>
          <w:szCs w:val="22"/>
        </w:rPr>
      </w:pPr>
    </w:p>
    <w:p w:rsidR="00F84A04" w:rsidRDefault="00F84A04" w:rsidP="00F84A0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:rsidR="00F84A04" w:rsidRDefault="00F84A04" w:rsidP="00F84A0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F84A04" w:rsidRPr="00C83DF0" w:rsidRDefault="00F84A04" w:rsidP="00F84A0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83DF0">
        <w:rPr>
          <w:rFonts w:ascii="Arial" w:hAnsi="Arial" w:cs="Arial"/>
          <w:sz w:val="22"/>
          <w:szCs w:val="22"/>
        </w:rPr>
        <w:t xml:space="preserve">A abertura de crédito </w:t>
      </w:r>
      <w:r>
        <w:rPr>
          <w:rFonts w:ascii="Arial" w:hAnsi="Arial" w:cs="Arial"/>
          <w:sz w:val="22"/>
          <w:szCs w:val="22"/>
        </w:rPr>
        <w:t>especial</w:t>
      </w:r>
      <w:r w:rsidRPr="00C83DF0">
        <w:rPr>
          <w:rFonts w:ascii="Arial" w:hAnsi="Arial" w:cs="Arial"/>
          <w:sz w:val="22"/>
          <w:szCs w:val="22"/>
        </w:rPr>
        <w:t xml:space="preserve"> é destinada para reforço de dotação orçamentária já existente, de acordo com os artigos 41 e 42 da Lei nº. 4.320/64: </w:t>
      </w:r>
    </w:p>
    <w:p w:rsidR="00F84A04" w:rsidRPr="00C83DF0" w:rsidRDefault="00F84A04" w:rsidP="00F84A04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F84A04" w:rsidRPr="00C83DF0" w:rsidRDefault="00F84A04" w:rsidP="00F84A04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Lei Federal nº. 4.320/64 </w:t>
      </w:r>
    </w:p>
    <w:p w:rsidR="00F84A04" w:rsidRPr="00C83DF0" w:rsidRDefault="00F84A04" w:rsidP="00F84A04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Art. 41. Os créditos adicionais classificam-se em: </w:t>
      </w:r>
    </w:p>
    <w:p w:rsidR="00F84A04" w:rsidRPr="00C83DF0" w:rsidRDefault="00F84A04" w:rsidP="00F84A04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 - suplementares, os destinados a reforço de dotação orçamentária; </w:t>
      </w:r>
    </w:p>
    <w:p w:rsidR="00F84A04" w:rsidRPr="00C83DF0" w:rsidRDefault="00F84A04" w:rsidP="00F84A04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 - especiais, os destinados a despesas para as quais não haja dotação orçamentária específica; </w:t>
      </w:r>
    </w:p>
    <w:p w:rsidR="00F84A04" w:rsidRPr="00C83DF0" w:rsidRDefault="00F84A04" w:rsidP="00F84A04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III - extraordinários, os destinados a despesas urgentes e imprevistas, em caso de guerra, comoção intestina ou calamidade pública. </w:t>
      </w:r>
    </w:p>
    <w:p w:rsidR="00F84A04" w:rsidRPr="00C83DF0" w:rsidRDefault="00F84A04" w:rsidP="00F84A04">
      <w:pPr>
        <w:ind w:left="2268"/>
        <w:jc w:val="both"/>
        <w:rPr>
          <w:rFonts w:ascii="Arial" w:hAnsi="Arial" w:cs="Arial"/>
          <w:sz w:val="20"/>
          <w:szCs w:val="20"/>
        </w:rPr>
      </w:pPr>
    </w:p>
    <w:p w:rsidR="00F84A04" w:rsidRPr="00C83DF0" w:rsidRDefault="00F84A04" w:rsidP="00F84A04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>Art. 42. Os créditos suplementares e especiais serão autorizados por lei e abertos por decreto executivo. Assim, impondo limites às ações do executivo, os dispositivos supramencionados pretendem limitar o gasto público ao previsto no orçamento, que é valorizado na medida em que exige autorização legislativa para abertura de créditos estranhos ao orçamento vigente.</w:t>
      </w:r>
      <w:r w:rsidRPr="00C83DF0">
        <w:rPr>
          <w:rFonts w:ascii="Arial" w:hAnsi="Arial" w:cs="Arial"/>
          <w:sz w:val="20"/>
          <w:szCs w:val="20"/>
        </w:rPr>
        <w:tab/>
      </w:r>
    </w:p>
    <w:p w:rsidR="00F84A04" w:rsidRPr="0057323D" w:rsidRDefault="00F84A04" w:rsidP="00F84A0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F84A04" w:rsidRDefault="00F84A04" w:rsidP="00F84A0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F84A04" w:rsidRPr="00845F5A" w:rsidRDefault="00F84A04" w:rsidP="00F84A0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1" w:name="_Hlk95744690"/>
      <w:r w:rsidRPr="0010595A">
        <w:rPr>
          <w:rFonts w:ascii="Arial" w:hAnsi="Arial" w:cs="Arial"/>
          <w:sz w:val="22"/>
          <w:szCs w:val="22"/>
        </w:rPr>
        <w:t xml:space="preserve">A presente abertura de crédito </w:t>
      </w:r>
      <w:r>
        <w:rPr>
          <w:rFonts w:ascii="Arial" w:hAnsi="Arial" w:cs="Arial"/>
          <w:sz w:val="22"/>
          <w:szCs w:val="22"/>
        </w:rPr>
        <w:t>especial</w:t>
      </w:r>
      <w:r w:rsidRPr="0010595A">
        <w:rPr>
          <w:rFonts w:ascii="Arial" w:hAnsi="Arial" w:cs="Arial"/>
          <w:sz w:val="22"/>
          <w:szCs w:val="22"/>
        </w:rPr>
        <w:t xml:space="preserve"> tem por objetivo</w:t>
      </w:r>
      <w:r>
        <w:rPr>
          <w:rFonts w:ascii="Arial" w:hAnsi="Arial" w:cs="Arial"/>
          <w:sz w:val="22"/>
          <w:szCs w:val="22"/>
        </w:rPr>
        <w:t xml:space="preserve"> a aquisição de equipamentos odontológicos para a equipe de saúde bucal</w:t>
      </w:r>
      <w:r w:rsidRPr="009D6453">
        <w:rPr>
          <w:rFonts w:ascii="Arial" w:hAnsi="Arial" w:cs="Arial"/>
          <w:sz w:val="22"/>
          <w:szCs w:val="22"/>
        </w:rPr>
        <w:t xml:space="preserve">. </w:t>
      </w:r>
      <w:bookmarkEnd w:id="1"/>
      <w:r>
        <w:rPr>
          <w:rFonts w:ascii="Arial" w:hAnsi="Arial" w:cs="Arial"/>
          <w:sz w:val="22"/>
          <w:szCs w:val="22"/>
        </w:rPr>
        <w:t>Estando de acordo com</w:t>
      </w:r>
      <w:r w:rsidRPr="00A52E45">
        <w:rPr>
          <w:rFonts w:ascii="Arial" w:hAnsi="Arial" w:cs="Arial"/>
          <w:sz w:val="22"/>
          <w:szCs w:val="22"/>
        </w:rPr>
        <w:t xml:space="preserve"> a Constituição Federal</w:t>
      </w:r>
      <w:r>
        <w:rPr>
          <w:rFonts w:ascii="Arial" w:hAnsi="Arial" w:cs="Arial"/>
          <w:sz w:val="22"/>
          <w:szCs w:val="22"/>
        </w:rPr>
        <w:t>, pois esta</w:t>
      </w:r>
      <w:r w:rsidRPr="00A52E45">
        <w:rPr>
          <w:rFonts w:ascii="Arial" w:hAnsi="Arial" w:cs="Arial"/>
          <w:sz w:val="22"/>
          <w:szCs w:val="22"/>
        </w:rPr>
        <w:t xml:space="preserve"> estabelece, em seu artigo 167, V, vedação para abertura de crédito suplementar ou especial sem prévia autorização legislativa e, ainda, sem indicação dos recursos correspondentes.</w:t>
      </w:r>
    </w:p>
    <w:p w:rsidR="00F84A04" w:rsidRPr="00C83DF0" w:rsidRDefault="00F84A04" w:rsidP="00F84A04">
      <w:pPr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84A04" w:rsidRPr="00306487" w:rsidRDefault="00F84A04" w:rsidP="00F84A04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2022.</w:t>
      </w:r>
    </w:p>
    <w:p w:rsidR="00F84A04" w:rsidRDefault="00F84A04" w:rsidP="00F84A0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84A04" w:rsidRPr="0057323D" w:rsidRDefault="00F84A04" w:rsidP="00F84A0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F84A04" w:rsidRDefault="00F84A04" w:rsidP="00F84A0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F84A04" w:rsidRPr="0057323D" w:rsidRDefault="00F84A04" w:rsidP="00F84A0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:rsidR="00F84A04" w:rsidRPr="0057323D" w:rsidRDefault="00F84A04" w:rsidP="00F84A0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F84A04" w:rsidRPr="0057323D" w:rsidRDefault="00F84A04" w:rsidP="00F84A04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F84A04" w:rsidRPr="0057323D" w:rsidRDefault="00F84A04" w:rsidP="00F84A04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lastRenderedPageBreak/>
        <w:t>CONCLUSÃO</w:t>
      </w:r>
    </w:p>
    <w:p w:rsidR="00F84A04" w:rsidRPr="0057323D" w:rsidRDefault="00F84A04" w:rsidP="00F84A04">
      <w:pPr>
        <w:jc w:val="center"/>
        <w:rPr>
          <w:rFonts w:ascii="Arial" w:hAnsi="Arial" w:cs="Arial"/>
          <w:b/>
          <w:sz w:val="22"/>
          <w:szCs w:val="22"/>
        </w:rPr>
      </w:pPr>
    </w:p>
    <w:p w:rsidR="00F84A04" w:rsidRPr="0057323D" w:rsidRDefault="00F84A04" w:rsidP="00F84A0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F84A04" w:rsidRDefault="00F84A04" w:rsidP="00F84A0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F84A04" w:rsidRPr="0057323D" w:rsidRDefault="00F84A04" w:rsidP="00F84A0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>
        <w:rPr>
          <w:rFonts w:ascii="Arial" w:hAnsi="Arial" w:cs="Arial"/>
          <w:sz w:val="22"/>
          <w:szCs w:val="22"/>
        </w:rPr>
        <w:t>12 de julho de 2022.</w:t>
      </w:r>
    </w:p>
    <w:p w:rsidR="00F84A04" w:rsidRPr="0057323D" w:rsidRDefault="00F84A04" w:rsidP="00F84A0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F84A04" w:rsidRPr="0057323D" w:rsidRDefault="00F84A04" w:rsidP="00F84A04">
      <w:pPr>
        <w:jc w:val="both"/>
        <w:rPr>
          <w:rFonts w:ascii="Arial" w:hAnsi="Arial" w:cs="Arial"/>
          <w:sz w:val="22"/>
          <w:szCs w:val="22"/>
        </w:rPr>
      </w:pPr>
    </w:p>
    <w:p w:rsidR="00F84A04" w:rsidRPr="0057323D" w:rsidRDefault="00F84A04" w:rsidP="00F84A0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F84A04" w:rsidRPr="00AB123C" w:rsidRDefault="00F84A04" w:rsidP="00F84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>__________________</w:t>
      </w:r>
    </w:p>
    <w:p w:rsidR="00F84A04" w:rsidRPr="00AB123C" w:rsidRDefault="00F84A04" w:rsidP="00F84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ENEIDA ZUCHETTO LAZZARI - PP</w:t>
      </w:r>
    </w:p>
    <w:p w:rsidR="00F84A04" w:rsidRPr="00AB123C" w:rsidRDefault="00F84A04" w:rsidP="00F84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:rsidR="00F84A04" w:rsidRDefault="00F84A04" w:rsidP="00F84A04">
      <w:pPr>
        <w:spacing w:line="276" w:lineRule="auto"/>
        <w:rPr>
          <w:rFonts w:ascii="Arial" w:hAnsi="Arial" w:cs="Arial"/>
          <w:sz w:val="20"/>
          <w:szCs w:val="20"/>
        </w:rPr>
      </w:pPr>
    </w:p>
    <w:p w:rsidR="00F84A04" w:rsidRDefault="00F84A04" w:rsidP="00F84A04">
      <w:pPr>
        <w:spacing w:line="276" w:lineRule="auto"/>
        <w:rPr>
          <w:rFonts w:ascii="Arial" w:hAnsi="Arial" w:cs="Arial"/>
          <w:sz w:val="20"/>
          <w:szCs w:val="20"/>
        </w:rPr>
      </w:pPr>
    </w:p>
    <w:p w:rsidR="00F84A04" w:rsidRDefault="00F84A04" w:rsidP="00F84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</w:t>
      </w:r>
    </w:p>
    <w:p w:rsidR="00F84A04" w:rsidRDefault="00F84A04" w:rsidP="00F84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ISRAEL DA SILVA– PSDB</w:t>
      </w:r>
    </w:p>
    <w:p w:rsidR="00F84A04" w:rsidRDefault="00F84A04" w:rsidP="00F84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Vice-Presidente </w:t>
      </w:r>
      <w:r w:rsidRPr="00AB123C">
        <w:rPr>
          <w:rFonts w:ascii="Arial" w:hAnsi="Arial" w:cs="Arial"/>
          <w:sz w:val="20"/>
          <w:szCs w:val="20"/>
        </w:rPr>
        <w:t>da Comissão</w:t>
      </w:r>
    </w:p>
    <w:p w:rsidR="00F84A04" w:rsidRDefault="00F84A04" w:rsidP="00F84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F84A04" w:rsidRDefault="00F84A04" w:rsidP="00F84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F84A04" w:rsidRDefault="00F84A04" w:rsidP="00F84A04">
      <w:pPr>
        <w:spacing w:line="276" w:lineRule="auto"/>
        <w:rPr>
          <w:rFonts w:ascii="Arial" w:hAnsi="Arial" w:cs="Arial"/>
        </w:rPr>
      </w:pPr>
    </w:p>
    <w:p w:rsidR="00F84A04" w:rsidRPr="00B814D2" w:rsidRDefault="00F84A04" w:rsidP="00F84A04">
      <w:pPr>
        <w:rPr>
          <w:rFonts w:ascii="Arial" w:hAnsi="Arial" w:cs="Arial"/>
        </w:rPr>
      </w:pPr>
    </w:p>
    <w:p w:rsidR="00F84A04" w:rsidRPr="00B814D2" w:rsidRDefault="00F84A04" w:rsidP="00F84A04">
      <w:pPr>
        <w:rPr>
          <w:rFonts w:ascii="Arial" w:hAnsi="Arial" w:cs="Arial"/>
        </w:rPr>
      </w:pPr>
    </w:p>
    <w:p w:rsidR="00F84A04" w:rsidRPr="00B814D2" w:rsidRDefault="00F84A04" w:rsidP="00F84A04">
      <w:pPr>
        <w:rPr>
          <w:rFonts w:ascii="Arial" w:hAnsi="Arial" w:cs="Arial"/>
        </w:rPr>
      </w:pPr>
    </w:p>
    <w:p w:rsidR="00F84A04" w:rsidRPr="00B814D2" w:rsidRDefault="00F84A04" w:rsidP="00F84A04">
      <w:pPr>
        <w:rPr>
          <w:rFonts w:ascii="Arial" w:hAnsi="Arial" w:cs="Arial"/>
        </w:rPr>
      </w:pPr>
    </w:p>
    <w:p w:rsidR="00F84A04" w:rsidRPr="00B814D2" w:rsidRDefault="00F84A04" w:rsidP="00F84A04">
      <w:pPr>
        <w:rPr>
          <w:rFonts w:ascii="Arial" w:hAnsi="Arial" w:cs="Arial"/>
        </w:rPr>
      </w:pPr>
    </w:p>
    <w:p w:rsidR="00F84A04" w:rsidRPr="00B814D2" w:rsidRDefault="00F84A04" w:rsidP="00F84A04">
      <w:pPr>
        <w:rPr>
          <w:rFonts w:ascii="Arial" w:hAnsi="Arial" w:cs="Arial"/>
        </w:rPr>
      </w:pPr>
    </w:p>
    <w:p w:rsidR="00F84A04" w:rsidRPr="00B814D2" w:rsidRDefault="00F84A04" w:rsidP="00F84A04">
      <w:pPr>
        <w:rPr>
          <w:rFonts w:ascii="Arial" w:hAnsi="Arial" w:cs="Arial"/>
        </w:rPr>
      </w:pPr>
    </w:p>
    <w:p w:rsidR="00F84A04" w:rsidRDefault="00F84A04" w:rsidP="00F84A04">
      <w:pPr>
        <w:rPr>
          <w:rFonts w:ascii="Arial" w:hAnsi="Arial" w:cs="Arial"/>
        </w:rPr>
      </w:pPr>
    </w:p>
    <w:p w:rsidR="00F84A04" w:rsidRDefault="00F84A04" w:rsidP="00F84A04"/>
    <w:p w:rsidR="001D4234" w:rsidRPr="00E840E4" w:rsidRDefault="001D423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34" w:rsidRPr="00E840E4" w:rsidSect="00F84A04">
      <w:headerReference w:type="default" r:id="rId7"/>
      <w:footerReference w:type="default" r:id="rId8"/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CE2" w:rsidRDefault="006C3CE2" w:rsidP="005B39B6">
      <w:r>
        <w:separator/>
      </w:r>
    </w:p>
  </w:endnote>
  <w:endnote w:type="continuationSeparator" w:id="1">
    <w:p w:rsidR="006C3CE2" w:rsidRDefault="006C3CE2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CE2" w:rsidRDefault="006C3CE2" w:rsidP="005B39B6">
      <w:r>
        <w:separator/>
      </w:r>
    </w:p>
  </w:footnote>
  <w:footnote w:type="continuationSeparator" w:id="1">
    <w:p w:rsidR="006C3CE2" w:rsidRDefault="006C3CE2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C7E7B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D5927"/>
    <w:rsid w:val="002F060B"/>
    <w:rsid w:val="002F1FE9"/>
    <w:rsid w:val="002F3072"/>
    <w:rsid w:val="002F3FCF"/>
    <w:rsid w:val="003F29AA"/>
    <w:rsid w:val="00401278"/>
    <w:rsid w:val="00467086"/>
    <w:rsid w:val="004D710C"/>
    <w:rsid w:val="005B099B"/>
    <w:rsid w:val="005B39B6"/>
    <w:rsid w:val="005D7AC3"/>
    <w:rsid w:val="0063276B"/>
    <w:rsid w:val="00642349"/>
    <w:rsid w:val="00656020"/>
    <w:rsid w:val="00680BAB"/>
    <w:rsid w:val="006C3CE2"/>
    <w:rsid w:val="00743708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96DD5"/>
    <w:rsid w:val="008A41E3"/>
    <w:rsid w:val="008A6032"/>
    <w:rsid w:val="008A6BF2"/>
    <w:rsid w:val="008C6164"/>
    <w:rsid w:val="008F1119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003DD"/>
    <w:rsid w:val="00B734EF"/>
    <w:rsid w:val="00B924F0"/>
    <w:rsid w:val="00C219E4"/>
    <w:rsid w:val="00C2784B"/>
    <w:rsid w:val="00C66648"/>
    <w:rsid w:val="00CA013D"/>
    <w:rsid w:val="00CD41BD"/>
    <w:rsid w:val="00CE060A"/>
    <w:rsid w:val="00D23022"/>
    <w:rsid w:val="00D53447"/>
    <w:rsid w:val="00DB02CF"/>
    <w:rsid w:val="00DB7ECF"/>
    <w:rsid w:val="00E70030"/>
    <w:rsid w:val="00E840E4"/>
    <w:rsid w:val="00EF29AA"/>
    <w:rsid w:val="00F42286"/>
    <w:rsid w:val="00F6284E"/>
    <w:rsid w:val="00F84A04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2</cp:revision>
  <cp:lastPrinted>2022-07-12T17:01:00Z</cp:lastPrinted>
  <dcterms:created xsi:type="dcterms:W3CDTF">2022-07-12T17:03:00Z</dcterms:created>
  <dcterms:modified xsi:type="dcterms:W3CDTF">2022-07-12T17:03:00Z</dcterms:modified>
</cp:coreProperties>
</file>